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E5EB3" w14:textId="1955ADE3" w:rsidR="005F7602" w:rsidRPr="00517B22" w:rsidRDefault="005F7602" w:rsidP="002946C7">
      <w:pPr>
        <w:ind w:left="5529"/>
      </w:pPr>
    </w:p>
    <w:p w14:paraId="12FA4B9E" w14:textId="39AA3336" w:rsidR="001B3C5B" w:rsidRPr="00517B22" w:rsidRDefault="00DC261A" w:rsidP="001B3C5B">
      <w:pPr>
        <w:ind w:left="6096"/>
      </w:pPr>
      <w:bookmarkStart w:id="0" w:name="_Hlk189565243"/>
      <w:r w:rsidRPr="00517B22">
        <w:t>PATVIRTINTA</w:t>
      </w:r>
    </w:p>
    <w:p w14:paraId="7206970B" w14:textId="70E9BD2E" w:rsidR="004C263A" w:rsidRPr="00517B22" w:rsidRDefault="001B3C5B" w:rsidP="001B3C5B">
      <w:pPr>
        <w:ind w:left="6096"/>
      </w:pPr>
      <w:r w:rsidRPr="00517B22">
        <w:t>Valstybinės vaistų kontrolės tarnybos prie Lietuvos Respublikos sveikatos apsaugos ministerijos viršininko 2021 m</w:t>
      </w:r>
      <w:r w:rsidR="004C263A" w:rsidRPr="00517B22">
        <w:t xml:space="preserve">. lapkričio 12 </w:t>
      </w:r>
      <w:r w:rsidRPr="00517B22">
        <w:t>d. įsakymu Nr.</w:t>
      </w:r>
      <w:r w:rsidR="004C263A" w:rsidRPr="00517B22">
        <w:t xml:space="preserve"> (1.72E)1A-1418</w:t>
      </w:r>
    </w:p>
    <w:p w14:paraId="5B219AA6" w14:textId="3A5D6CB4" w:rsidR="001B3C5B" w:rsidRPr="00517B22" w:rsidRDefault="004C263A" w:rsidP="001B3C5B">
      <w:pPr>
        <w:ind w:left="6096"/>
      </w:pPr>
      <w:r w:rsidRPr="00517B22">
        <w:t>(Valstybinės vaistų kontrolės tarnybos prie Lietuvos Respublikos sveikatos apsaugos ministerijos viršininko 202</w:t>
      </w:r>
      <w:r w:rsidR="00A2310D" w:rsidRPr="00517B22">
        <w:t>5</w:t>
      </w:r>
      <w:r w:rsidRPr="00517B22">
        <w:t xml:space="preserve"> m.                         d. įsakymo Nr.                    redakcija)</w:t>
      </w:r>
    </w:p>
    <w:bookmarkEnd w:id="0"/>
    <w:p w14:paraId="56604434" w14:textId="77777777" w:rsidR="00DC261A" w:rsidRPr="00517B22" w:rsidRDefault="00DC261A" w:rsidP="003B211A">
      <w:pPr>
        <w:jc w:val="center"/>
        <w:rPr>
          <w:b/>
        </w:rPr>
      </w:pPr>
    </w:p>
    <w:p w14:paraId="77AFB67E" w14:textId="0FB133A2" w:rsidR="00613501" w:rsidRPr="00517B22" w:rsidRDefault="002F0E4F" w:rsidP="003B211A">
      <w:pPr>
        <w:jc w:val="center"/>
        <w:rPr>
          <w:b/>
          <w:bCs/>
          <w:caps/>
        </w:rPr>
      </w:pPr>
      <w:r w:rsidRPr="00517B22">
        <w:rPr>
          <w:b/>
        </w:rPr>
        <w:t xml:space="preserve">REKOMENDACIJA DĖL VAISTINIO PREPARATO </w:t>
      </w:r>
      <w:r w:rsidRPr="00517B22">
        <w:rPr>
          <w:b/>
          <w:bCs/>
          <w:caps/>
        </w:rPr>
        <w:t>Lietuvos Respublikos Sveikatos apsaugos ministerijos vaistinių preparatų ir medicinos pagalbos priemonių kompensavimo komisijai</w:t>
      </w:r>
    </w:p>
    <w:p w14:paraId="34E4395D" w14:textId="15FB10DF" w:rsidR="00B13D65" w:rsidRPr="00517B22" w:rsidRDefault="00B13D65" w:rsidP="003B211A">
      <w:pPr>
        <w:jc w:val="center"/>
        <w:rPr>
          <w:b/>
        </w:rPr>
      </w:pPr>
    </w:p>
    <w:p w14:paraId="1C0A00EA" w14:textId="6C74C280" w:rsidR="00475513" w:rsidRPr="00517B22" w:rsidRDefault="00475513" w:rsidP="00475513">
      <w:pPr>
        <w:jc w:val="center"/>
        <w:rPr>
          <w:b/>
        </w:rPr>
      </w:pPr>
      <w:r w:rsidRPr="00517B22">
        <w:rPr>
          <w:b/>
        </w:rPr>
        <w:t>Kerendia 10 mg plėvele dengtos tabletės</w:t>
      </w:r>
    </w:p>
    <w:p w14:paraId="0D9A60FC" w14:textId="35349211" w:rsidR="00063174" w:rsidRPr="00517B22" w:rsidRDefault="00063174" w:rsidP="00063174">
      <w:pPr>
        <w:jc w:val="center"/>
        <w:rPr>
          <w:b/>
        </w:rPr>
      </w:pPr>
      <w:r w:rsidRPr="00517B22">
        <w:rPr>
          <w:b/>
        </w:rPr>
        <w:t>Kerendia 20 mg plėvele dengtos tabletės</w:t>
      </w:r>
    </w:p>
    <w:p w14:paraId="76874AF5" w14:textId="736C8FC1" w:rsidR="00063174" w:rsidRPr="00517B22" w:rsidRDefault="00063174" w:rsidP="00063174">
      <w:pPr>
        <w:jc w:val="center"/>
        <w:rPr>
          <w:b/>
        </w:rPr>
      </w:pPr>
      <w:r w:rsidRPr="00517B22">
        <w:rPr>
          <w:b/>
        </w:rPr>
        <w:t>Kerendia 40 mg plėvele dengtos tabletės</w:t>
      </w:r>
    </w:p>
    <w:p w14:paraId="46D1D112" w14:textId="77777777" w:rsidR="00475513" w:rsidRPr="00517B22" w:rsidRDefault="00475513" w:rsidP="00475513">
      <w:pPr>
        <w:jc w:val="center"/>
      </w:pPr>
    </w:p>
    <w:p w14:paraId="7A4E84FD" w14:textId="77777777" w:rsidR="00475513" w:rsidRPr="00517B22" w:rsidRDefault="00475513" w:rsidP="00475513">
      <w:pPr>
        <w:jc w:val="center"/>
      </w:pPr>
      <w:r w:rsidRPr="00517B22">
        <w:rPr>
          <w:b/>
        </w:rPr>
        <w:t>Finerenonas</w:t>
      </w:r>
    </w:p>
    <w:p w14:paraId="3150DBDE" w14:textId="77777777" w:rsidR="00475513" w:rsidRPr="00517B22" w:rsidRDefault="00475513" w:rsidP="00475513">
      <w:pPr>
        <w:jc w:val="center"/>
      </w:pPr>
    </w:p>
    <w:p w14:paraId="060F942A" w14:textId="77777777" w:rsidR="00475513" w:rsidRPr="00517B22" w:rsidRDefault="00475513" w:rsidP="00475513">
      <w:pPr>
        <w:jc w:val="center"/>
        <w:rPr>
          <w:b/>
        </w:rPr>
      </w:pPr>
      <w:r w:rsidRPr="00517B22">
        <w:rPr>
          <w:b/>
        </w:rPr>
        <w:t>STV-285</w:t>
      </w:r>
    </w:p>
    <w:p w14:paraId="453197C8" w14:textId="77777777" w:rsidR="00D4708D" w:rsidRPr="00517B22" w:rsidRDefault="00D4708D" w:rsidP="003B211A">
      <w:pPr>
        <w:jc w:val="center"/>
        <w:rPr>
          <w:b/>
        </w:rPr>
      </w:pPr>
    </w:p>
    <w:p w14:paraId="78C89D1C" w14:textId="0DEFFAA5" w:rsidR="00D4485B" w:rsidRPr="00517B22" w:rsidRDefault="00B13D65" w:rsidP="00CC09D4">
      <w:pPr>
        <w:pStyle w:val="Sraopastraipa"/>
        <w:numPr>
          <w:ilvl w:val="0"/>
          <w:numId w:val="12"/>
        </w:numPr>
        <w:tabs>
          <w:tab w:val="left" w:pos="567"/>
        </w:tabs>
        <w:ind w:left="567" w:hanging="567"/>
        <w:rPr>
          <w:b/>
          <w:bCs/>
          <w:caps/>
        </w:rPr>
      </w:pPr>
      <w:r w:rsidRPr="00517B22">
        <w:rPr>
          <w:b/>
          <w:bCs/>
          <w:caps/>
        </w:rPr>
        <w:t>Bendroji dalis</w:t>
      </w:r>
    </w:p>
    <w:p w14:paraId="04A7C7A7" w14:textId="77777777" w:rsidR="00B13D65" w:rsidRPr="00517B22" w:rsidRDefault="00B13D65" w:rsidP="00E03C3F">
      <w:pPr>
        <w:pStyle w:val="Sraopastraipa"/>
        <w:tabs>
          <w:tab w:val="left" w:pos="284"/>
        </w:tabs>
        <w:ind w:left="0"/>
        <w:rPr>
          <w:b/>
          <w:bCs/>
          <w:caps/>
        </w:rPr>
      </w:pPr>
    </w:p>
    <w:tbl>
      <w:tblPr>
        <w:tblStyle w:val="Lentelstinklelis"/>
        <w:tblW w:w="9493" w:type="dxa"/>
        <w:tblLook w:val="04A0" w:firstRow="1" w:lastRow="0" w:firstColumn="1" w:lastColumn="0" w:noHBand="0" w:noVBand="1"/>
      </w:tblPr>
      <w:tblGrid>
        <w:gridCol w:w="632"/>
        <w:gridCol w:w="3899"/>
        <w:gridCol w:w="4962"/>
      </w:tblGrid>
      <w:tr w:rsidR="003E0E2D" w:rsidRPr="00517B22" w14:paraId="16A7BC7B" w14:textId="77777777" w:rsidTr="003F3FFF">
        <w:trPr>
          <w:trHeight w:val="538"/>
        </w:trPr>
        <w:tc>
          <w:tcPr>
            <w:tcW w:w="632" w:type="dxa"/>
          </w:tcPr>
          <w:p w14:paraId="4572808D" w14:textId="77777777" w:rsidR="003E0E2D" w:rsidRPr="00517B22" w:rsidRDefault="003E0E2D" w:rsidP="003E0E2D">
            <w:pPr>
              <w:rPr>
                <w:rFonts w:eastAsia="Arial"/>
                <w:b/>
                <w:bCs/>
              </w:rPr>
            </w:pPr>
            <w:r w:rsidRPr="00517B22">
              <w:rPr>
                <w:rFonts w:eastAsia="Arial"/>
                <w:b/>
                <w:bCs/>
              </w:rPr>
              <w:t>1.1</w:t>
            </w:r>
          </w:p>
        </w:tc>
        <w:tc>
          <w:tcPr>
            <w:tcW w:w="3899" w:type="dxa"/>
          </w:tcPr>
          <w:p w14:paraId="54BA6EB3" w14:textId="77777777" w:rsidR="003E0E2D" w:rsidRPr="00517B22" w:rsidRDefault="003E0E2D" w:rsidP="003E0E2D">
            <w:pPr>
              <w:rPr>
                <w:rFonts w:eastAsia="Arial"/>
                <w:b/>
                <w:bCs/>
              </w:rPr>
            </w:pPr>
            <w:r w:rsidRPr="00517B22">
              <w:rPr>
                <w:rFonts w:eastAsia="Arial"/>
                <w:b/>
                <w:bCs/>
              </w:rPr>
              <w:t>Pareiškėjas/ pareiškėjo atstovas</w:t>
            </w:r>
          </w:p>
        </w:tc>
        <w:tc>
          <w:tcPr>
            <w:tcW w:w="4962" w:type="dxa"/>
          </w:tcPr>
          <w:p w14:paraId="0F359BD4" w14:textId="535C283C" w:rsidR="003E0E2D" w:rsidRPr="00517B22" w:rsidRDefault="003E0E2D" w:rsidP="003E0E2D">
            <w:pPr>
              <w:rPr>
                <w:rFonts w:eastAsia="Arial"/>
              </w:rPr>
            </w:pPr>
            <w:r w:rsidRPr="00517B22">
              <w:t>UAB „Bayer“</w:t>
            </w:r>
          </w:p>
        </w:tc>
      </w:tr>
      <w:tr w:rsidR="003E0E2D" w:rsidRPr="00517B22" w14:paraId="101EA148" w14:textId="77777777" w:rsidTr="003F3FFF">
        <w:trPr>
          <w:trHeight w:val="538"/>
        </w:trPr>
        <w:tc>
          <w:tcPr>
            <w:tcW w:w="632" w:type="dxa"/>
          </w:tcPr>
          <w:p w14:paraId="3BF67175" w14:textId="77777777" w:rsidR="003E0E2D" w:rsidRPr="00517B22" w:rsidRDefault="003E0E2D" w:rsidP="003E0E2D">
            <w:pPr>
              <w:rPr>
                <w:rFonts w:eastAsia="Arial"/>
                <w:b/>
                <w:bCs/>
              </w:rPr>
            </w:pPr>
            <w:r w:rsidRPr="00517B22">
              <w:rPr>
                <w:rFonts w:eastAsia="Arial"/>
                <w:b/>
                <w:bCs/>
              </w:rPr>
              <w:t>1.2</w:t>
            </w:r>
          </w:p>
        </w:tc>
        <w:tc>
          <w:tcPr>
            <w:tcW w:w="3899" w:type="dxa"/>
          </w:tcPr>
          <w:p w14:paraId="786B66DF" w14:textId="77777777" w:rsidR="003E0E2D" w:rsidRPr="00517B22" w:rsidRDefault="003E0E2D" w:rsidP="003E0E2D">
            <w:pPr>
              <w:rPr>
                <w:b/>
                <w:bCs/>
                <w:lang w:eastAsia="lt-LT"/>
              </w:rPr>
            </w:pPr>
            <w:r w:rsidRPr="00517B22">
              <w:rPr>
                <w:b/>
                <w:bCs/>
                <w:lang w:eastAsia="lt-LT"/>
              </w:rPr>
              <w:t xml:space="preserve">Vaistinio preparato registracijos data </w:t>
            </w:r>
          </w:p>
          <w:p w14:paraId="4B568341" w14:textId="77777777" w:rsidR="003E0E2D" w:rsidRPr="00517B22" w:rsidRDefault="003E0E2D" w:rsidP="003E0E2D">
            <w:pPr>
              <w:rPr>
                <w:b/>
                <w:bCs/>
                <w:lang w:eastAsia="lt-LT"/>
              </w:rPr>
            </w:pPr>
          </w:p>
        </w:tc>
        <w:tc>
          <w:tcPr>
            <w:tcW w:w="4962" w:type="dxa"/>
          </w:tcPr>
          <w:p w14:paraId="50F63366" w14:textId="03A87E60" w:rsidR="003E0E2D" w:rsidRPr="00517B22" w:rsidRDefault="00000000" w:rsidP="003E0E2D">
            <w:pPr>
              <w:rPr>
                <w:rStyle w:val="Style2"/>
              </w:rPr>
            </w:pPr>
            <w:sdt>
              <w:sdtPr>
                <w:rPr>
                  <w:sz w:val="32"/>
                </w:rPr>
                <w:alias w:val="Nurodykite konkrečią dieną"/>
                <w:tag w:val="Nurodykite pradžios datą"/>
                <w:id w:val="1772196685"/>
                <w:placeholder>
                  <w:docPart w:val="435C58746756410DA83672CD4E03AE07"/>
                </w:placeholder>
                <w15:color w:val="FFCC99"/>
                <w:date w:fullDate="2022-02-16T00:00:00Z">
                  <w:dateFormat w:val="yyyy 'm.' MMMM d 'd.'"/>
                  <w:lid w:val="lt-LT"/>
                  <w:storeMappedDataAs w:val="dateTime"/>
                  <w:calendar w:val="gregorian"/>
                </w:date>
              </w:sdtPr>
              <w:sdtEndPr>
                <w:rPr>
                  <w:sz w:val="24"/>
                </w:rPr>
              </w:sdtEndPr>
              <w:sdtContent>
                <w:r w:rsidR="003E0E2D" w:rsidRPr="00517B22">
                  <w:t>2022 m. vasario 16 d.</w:t>
                </w:r>
              </w:sdtContent>
            </w:sdt>
          </w:p>
        </w:tc>
      </w:tr>
      <w:tr w:rsidR="00E70CED" w:rsidRPr="00517B22" w14:paraId="3D70E0FA" w14:textId="77777777" w:rsidTr="001F115E">
        <w:trPr>
          <w:trHeight w:val="1643"/>
        </w:trPr>
        <w:tc>
          <w:tcPr>
            <w:tcW w:w="632" w:type="dxa"/>
          </w:tcPr>
          <w:p w14:paraId="021DF6BD" w14:textId="77777777" w:rsidR="00E70CED" w:rsidRPr="00517B22" w:rsidRDefault="00E70CED" w:rsidP="001F115E">
            <w:pPr>
              <w:rPr>
                <w:rFonts w:eastAsia="Arial"/>
                <w:b/>
                <w:bCs/>
              </w:rPr>
            </w:pPr>
            <w:r w:rsidRPr="00517B22">
              <w:rPr>
                <w:rFonts w:eastAsia="Arial"/>
                <w:b/>
                <w:bCs/>
              </w:rPr>
              <w:t>1.3</w:t>
            </w:r>
          </w:p>
        </w:tc>
        <w:tc>
          <w:tcPr>
            <w:tcW w:w="3899" w:type="dxa"/>
          </w:tcPr>
          <w:p w14:paraId="528F713F" w14:textId="77777777" w:rsidR="00E70CED" w:rsidRPr="00517B22" w:rsidRDefault="00E70CED" w:rsidP="001F115E">
            <w:pPr>
              <w:pStyle w:val="Betarp"/>
              <w:rPr>
                <w:rFonts w:ascii="Times New Roman" w:hAnsi="Times New Roman"/>
                <w:b/>
                <w:sz w:val="24"/>
                <w:szCs w:val="24"/>
                <w:shd w:val="clear" w:color="auto" w:fill="FFFFFF"/>
              </w:rPr>
            </w:pPr>
            <w:r w:rsidRPr="00517B22">
              <w:rPr>
                <w:rFonts w:ascii="Times New Roman" w:hAnsi="Times New Roman"/>
                <w:b/>
                <w:sz w:val="24"/>
                <w:szCs w:val="24"/>
              </w:rPr>
              <w:t xml:space="preserve">Vaistinio preparato </w:t>
            </w:r>
            <w:r w:rsidRPr="00517B22">
              <w:rPr>
                <w:rFonts w:ascii="Times New Roman" w:hAnsi="Times New Roman"/>
                <w:b/>
                <w:sz w:val="24"/>
                <w:szCs w:val="24"/>
                <w:shd w:val="clear" w:color="auto" w:fill="FFFFFF"/>
              </w:rPr>
              <w:t>registracijos teisinis pagrindas</w:t>
            </w:r>
          </w:p>
          <w:p w14:paraId="63F86DC1" w14:textId="77777777" w:rsidR="00E70CED" w:rsidRPr="00517B22" w:rsidRDefault="00E70CED" w:rsidP="001F115E">
            <w:pPr>
              <w:pStyle w:val="Betarp"/>
              <w:rPr>
                <w:rFonts w:ascii="Times New Roman" w:hAnsi="Times New Roman"/>
                <w:b/>
                <w:bCs/>
                <w:sz w:val="24"/>
                <w:szCs w:val="24"/>
                <w:lang w:eastAsia="lt-LT"/>
              </w:rPr>
            </w:pPr>
            <w:r w:rsidRPr="00517B22">
              <w:rPr>
                <w:rFonts w:ascii="Times New Roman" w:hAnsi="Times New Roman"/>
                <w:b/>
                <w:sz w:val="24"/>
                <w:szCs w:val="24"/>
                <w:shd w:val="clear" w:color="auto" w:fill="FFFFFF"/>
              </w:rPr>
              <w:t>(</w:t>
            </w:r>
            <w:r w:rsidRPr="00517B22">
              <w:rPr>
                <w:rFonts w:ascii="Times New Roman" w:hAnsi="Times New Roman"/>
                <w:b/>
                <w:sz w:val="24"/>
                <w:szCs w:val="24"/>
              </w:rPr>
              <w:t>Direktyvos 2001/83/EB str.)</w:t>
            </w:r>
          </w:p>
        </w:tc>
        <w:tc>
          <w:tcPr>
            <w:tcW w:w="4962" w:type="dxa"/>
          </w:tcPr>
          <w:p w14:paraId="4C977D39" w14:textId="6E473F22" w:rsidR="00E70CED" w:rsidRPr="00517B22" w:rsidRDefault="00000000" w:rsidP="001F115E">
            <w:sdt>
              <w:sdtPr>
                <w:rPr>
                  <w:rStyle w:val="Style2"/>
                  <w:sz w:val="24"/>
                </w:rPr>
                <w:id w:val="526292078"/>
                <w15:color w:val="FFCC00"/>
                <w14:checkbox>
                  <w14:checked w14:val="1"/>
                  <w14:checkedState w14:val="2612" w14:font="MS Gothic"/>
                  <w14:uncheckedState w14:val="2610" w14:font="MS Gothic"/>
                </w14:checkbox>
              </w:sdtPr>
              <w:sdtContent>
                <w:r w:rsidR="0021231B" w:rsidRPr="00517B22">
                  <w:rPr>
                    <w:rStyle w:val="Style2"/>
                    <w:rFonts w:ascii="MS Gothic" w:eastAsia="MS Gothic" w:hAnsi="MS Gothic"/>
                    <w:sz w:val="24"/>
                  </w:rPr>
                  <w:t>☒</w:t>
                </w:r>
              </w:sdtContent>
            </w:sdt>
            <w:r w:rsidR="00E70CED" w:rsidRPr="00517B22">
              <w:t>8.3 str. (pilna byla, pagrįsta savais tyrimais)</w:t>
            </w:r>
          </w:p>
          <w:p w14:paraId="6AABD410" w14:textId="77777777" w:rsidR="00E70CED" w:rsidRPr="00517B22" w:rsidRDefault="00000000" w:rsidP="001F115E">
            <w:sdt>
              <w:sdtPr>
                <w:rPr>
                  <w:rStyle w:val="Style2"/>
                  <w:sz w:val="24"/>
                </w:rPr>
                <w:id w:val="-1497953736"/>
                <w15:color w:val="FFCC00"/>
                <w14:checkbox>
                  <w14:checked w14:val="0"/>
                  <w14:checkedState w14:val="2612" w14:font="MS Gothic"/>
                  <w14:uncheckedState w14:val="2610" w14:font="MS Gothic"/>
                </w14:checkbox>
              </w:sdtPr>
              <w:sdtContent>
                <w:r w:rsidR="00E70CED" w:rsidRPr="00517B22">
                  <w:rPr>
                    <w:rStyle w:val="Style2"/>
                    <w:rFonts w:ascii="Segoe UI Symbol" w:eastAsia="MS Gothic" w:hAnsi="Segoe UI Symbol" w:cs="Segoe UI Symbol"/>
                    <w:sz w:val="24"/>
                  </w:rPr>
                  <w:t>☐</w:t>
                </w:r>
              </w:sdtContent>
            </w:sdt>
            <w:r w:rsidR="00E70CED" w:rsidRPr="00517B22">
              <w:t>10 a str. (pripažintas medicininis vartojimas)</w:t>
            </w:r>
          </w:p>
          <w:p w14:paraId="5CF35A47" w14:textId="77777777" w:rsidR="00E70CED" w:rsidRPr="00517B22" w:rsidRDefault="00000000" w:rsidP="001F115E">
            <w:sdt>
              <w:sdtPr>
                <w:rPr>
                  <w:rStyle w:val="Style2"/>
                  <w:sz w:val="24"/>
                </w:rPr>
                <w:id w:val="204142496"/>
                <w15:color w:val="FFCC00"/>
                <w14:checkbox>
                  <w14:checked w14:val="0"/>
                  <w14:checkedState w14:val="2612" w14:font="MS Gothic"/>
                  <w14:uncheckedState w14:val="2610" w14:font="MS Gothic"/>
                </w14:checkbox>
              </w:sdtPr>
              <w:sdtContent>
                <w:r w:rsidR="00E70CED" w:rsidRPr="00517B22">
                  <w:rPr>
                    <w:rStyle w:val="Style2"/>
                    <w:rFonts w:ascii="Segoe UI Symbol" w:eastAsia="MS Gothic" w:hAnsi="Segoe UI Symbol" w:cs="Segoe UI Symbol"/>
                    <w:sz w:val="24"/>
                  </w:rPr>
                  <w:t>☐</w:t>
                </w:r>
              </w:sdtContent>
            </w:sdt>
            <w:r w:rsidR="00E70CED" w:rsidRPr="00517B22">
              <w:t>10.1 str. (generinis)</w:t>
            </w:r>
          </w:p>
          <w:p w14:paraId="0517A1B2" w14:textId="77777777" w:rsidR="00E70CED" w:rsidRPr="00517B22" w:rsidRDefault="00000000" w:rsidP="001F115E">
            <w:sdt>
              <w:sdtPr>
                <w:rPr>
                  <w:rStyle w:val="Style2"/>
                  <w:sz w:val="24"/>
                </w:rPr>
                <w:id w:val="820305101"/>
                <w15:color w:val="FFCC00"/>
                <w14:checkbox>
                  <w14:checked w14:val="0"/>
                  <w14:checkedState w14:val="2612" w14:font="MS Gothic"/>
                  <w14:uncheckedState w14:val="2610" w14:font="MS Gothic"/>
                </w14:checkbox>
              </w:sdtPr>
              <w:sdtContent>
                <w:r w:rsidR="00E70CED" w:rsidRPr="00517B22">
                  <w:rPr>
                    <w:rStyle w:val="Style2"/>
                    <w:rFonts w:ascii="Segoe UI Symbol" w:eastAsia="MS Gothic" w:hAnsi="Segoe UI Symbol" w:cs="Segoe UI Symbol"/>
                    <w:sz w:val="24"/>
                  </w:rPr>
                  <w:t>☐</w:t>
                </w:r>
              </w:sdtContent>
            </w:sdt>
            <w:r w:rsidR="00E70CED" w:rsidRPr="00517B22">
              <w:t>10.3 str. (hibridinis)</w:t>
            </w:r>
          </w:p>
          <w:p w14:paraId="0F37DDE0" w14:textId="78AF6516" w:rsidR="00063A50" w:rsidRPr="00517B22" w:rsidRDefault="00000000" w:rsidP="00063A50">
            <w:sdt>
              <w:sdtPr>
                <w:rPr>
                  <w:rStyle w:val="Style2"/>
                  <w:sz w:val="24"/>
                </w:rPr>
                <w:id w:val="1800953328"/>
                <w15:color w:val="FFCC00"/>
                <w14:checkbox>
                  <w14:checked w14:val="0"/>
                  <w14:checkedState w14:val="2612" w14:font="MS Gothic"/>
                  <w14:uncheckedState w14:val="2610" w14:font="MS Gothic"/>
                </w14:checkbox>
              </w:sdtPr>
              <w:sdtContent>
                <w:r w:rsidR="00063A50" w:rsidRPr="00517B22">
                  <w:rPr>
                    <w:rStyle w:val="Style2"/>
                    <w:rFonts w:ascii="Segoe UI Symbol" w:eastAsia="MS Gothic" w:hAnsi="Segoe UI Symbol" w:cs="Segoe UI Symbol"/>
                    <w:sz w:val="24"/>
                  </w:rPr>
                  <w:t>☐</w:t>
                </w:r>
              </w:sdtContent>
            </w:sdt>
            <w:r w:rsidR="00063A50" w:rsidRPr="00517B22">
              <w:t>10.4 str. (panašus biologinis)</w:t>
            </w:r>
          </w:p>
          <w:p w14:paraId="7EDB4848" w14:textId="77777777" w:rsidR="00063A50" w:rsidRPr="00517B22" w:rsidRDefault="00063A50" w:rsidP="001F115E">
            <w:pPr>
              <w:rPr>
                <w:rStyle w:val="Style2"/>
                <w:sz w:val="24"/>
              </w:rPr>
            </w:pPr>
          </w:p>
        </w:tc>
      </w:tr>
      <w:tr w:rsidR="00E70CED" w:rsidRPr="00517B22" w14:paraId="31641941" w14:textId="77777777" w:rsidTr="003F3FFF">
        <w:trPr>
          <w:trHeight w:val="1011"/>
        </w:trPr>
        <w:tc>
          <w:tcPr>
            <w:tcW w:w="632" w:type="dxa"/>
          </w:tcPr>
          <w:p w14:paraId="2E73A32C" w14:textId="77777777" w:rsidR="00E70CED" w:rsidRPr="00517B22" w:rsidRDefault="00E70CED" w:rsidP="001F115E">
            <w:pPr>
              <w:rPr>
                <w:rFonts w:eastAsia="Arial"/>
                <w:b/>
                <w:bCs/>
              </w:rPr>
            </w:pPr>
            <w:r w:rsidRPr="00517B22">
              <w:rPr>
                <w:rFonts w:eastAsia="Arial"/>
                <w:b/>
              </w:rPr>
              <w:t>1.4</w:t>
            </w:r>
          </w:p>
        </w:tc>
        <w:tc>
          <w:tcPr>
            <w:tcW w:w="3899" w:type="dxa"/>
          </w:tcPr>
          <w:p w14:paraId="2547AC59" w14:textId="77777777" w:rsidR="00E70CED" w:rsidRPr="00517B22" w:rsidRDefault="00E70CED" w:rsidP="001F115E">
            <w:pPr>
              <w:tabs>
                <w:tab w:val="left" w:pos="284"/>
              </w:tabs>
              <w:rPr>
                <w:b/>
                <w:bCs/>
                <w:lang w:eastAsia="lt-LT"/>
              </w:rPr>
            </w:pPr>
            <w:r w:rsidRPr="00517B22">
              <w:rPr>
                <w:b/>
                <w:bCs/>
                <w:lang w:eastAsia="lt-LT"/>
              </w:rPr>
              <w:t>Ar vaistinis preparatas įrašytas į Bendrijos retųjų vaistinių preparatų registrą?</w:t>
            </w:r>
          </w:p>
        </w:tc>
        <w:tc>
          <w:tcPr>
            <w:tcW w:w="4962" w:type="dxa"/>
          </w:tcPr>
          <w:p w14:paraId="49AB923F" w14:textId="7E23966D" w:rsidR="00E70CED" w:rsidRPr="00517B22" w:rsidRDefault="00000000" w:rsidP="001F115E">
            <w:sdt>
              <w:sdtPr>
                <w:rPr>
                  <w:rStyle w:val="Style2"/>
                  <w:sz w:val="24"/>
                </w:rPr>
                <w:id w:val="1190730465"/>
                <w15:color w:val="FFCC00"/>
                <w14:checkbox>
                  <w14:checked w14:val="0"/>
                  <w14:checkedState w14:val="2612" w14:font="MS Gothic"/>
                  <w14:uncheckedState w14:val="2610" w14:font="MS Gothic"/>
                </w14:checkbox>
              </w:sdtPr>
              <w:sdtContent>
                <w:r w:rsidR="00E70CED" w:rsidRPr="00517B22">
                  <w:rPr>
                    <w:rStyle w:val="Style2"/>
                    <w:rFonts w:ascii="Segoe UI Symbol" w:eastAsia="MS Gothic" w:hAnsi="Segoe UI Symbol" w:cs="Segoe UI Symbol"/>
                    <w:sz w:val="24"/>
                  </w:rPr>
                  <w:t>☐</w:t>
                </w:r>
              </w:sdtContent>
            </w:sdt>
            <w:r w:rsidR="00E70CED" w:rsidRPr="00517B22">
              <w:t xml:space="preserve"> Taip       </w:t>
            </w:r>
            <w:r w:rsidR="00E70CED" w:rsidRPr="00517B22">
              <w:rPr>
                <w:rStyle w:val="Style2"/>
                <w:sz w:val="24"/>
              </w:rPr>
              <w:t xml:space="preserve"> </w:t>
            </w:r>
            <w:sdt>
              <w:sdtPr>
                <w:rPr>
                  <w:rStyle w:val="Style2"/>
                  <w:sz w:val="24"/>
                </w:rPr>
                <w:id w:val="-1760283509"/>
                <w15:color w:val="FFCC00"/>
                <w14:checkbox>
                  <w14:checked w14:val="1"/>
                  <w14:checkedState w14:val="2612" w14:font="MS Gothic"/>
                  <w14:uncheckedState w14:val="2610" w14:font="MS Gothic"/>
                </w14:checkbox>
              </w:sdtPr>
              <w:sdtContent>
                <w:r w:rsidR="0021231B" w:rsidRPr="00517B22">
                  <w:rPr>
                    <w:rStyle w:val="Style2"/>
                    <w:rFonts w:ascii="MS Gothic" w:eastAsia="MS Gothic" w:hAnsi="MS Gothic"/>
                    <w:sz w:val="24"/>
                  </w:rPr>
                  <w:t>☒</w:t>
                </w:r>
              </w:sdtContent>
            </w:sdt>
            <w:r w:rsidR="00E70CED" w:rsidRPr="00517B22">
              <w:t xml:space="preserve"> Ne</w:t>
            </w:r>
          </w:p>
          <w:p w14:paraId="56165267" w14:textId="77777777" w:rsidR="00E70CED" w:rsidRPr="00517B22" w:rsidRDefault="00E70CED" w:rsidP="001F115E">
            <w:pPr>
              <w:rPr>
                <w:rFonts w:eastAsia="Arial"/>
              </w:rPr>
            </w:pPr>
            <w:r w:rsidRPr="00517B22">
              <w:t xml:space="preserve">Data: </w:t>
            </w:r>
            <w:sdt>
              <w:sdtPr>
                <w:alias w:val="Nurodykite konkrečią dieną"/>
                <w:tag w:val="Nurodykite pradžios datą"/>
                <w:id w:val="1784158105"/>
                <w:placeholder>
                  <w:docPart w:val="93D7EBE30A7F432F9AB1114CDC0B27A0"/>
                </w:placeholder>
                <w:showingPlcHdr/>
                <w15:color w:val="FFCC99"/>
                <w:date w:fullDate="2022-05-18T00:00:00Z">
                  <w:dateFormat w:val="yyyy 'm.' MMMM d 'd.'"/>
                  <w:lid w:val="lt-LT"/>
                  <w:storeMappedDataAs w:val="dateTime"/>
                  <w:calendar w:val="gregorian"/>
                </w:date>
              </w:sdtPr>
              <w:sdtContent>
                <w:r w:rsidRPr="00517B22">
                  <w:rPr>
                    <w:rStyle w:val="Vietosrezervavimoenklotekstas"/>
                  </w:rPr>
                  <w:t>Click here to enter a date.</w:t>
                </w:r>
              </w:sdtContent>
            </w:sdt>
            <w:r w:rsidRPr="00517B22">
              <w:t xml:space="preserve"> Nr.</w:t>
            </w:r>
          </w:p>
        </w:tc>
      </w:tr>
      <w:tr w:rsidR="00E70CED" w:rsidRPr="00517B22" w14:paraId="5E0775EB" w14:textId="77777777" w:rsidTr="003F3FFF">
        <w:trPr>
          <w:trHeight w:val="1011"/>
        </w:trPr>
        <w:tc>
          <w:tcPr>
            <w:tcW w:w="632" w:type="dxa"/>
          </w:tcPr>
          <w:p w14:paraId="6829924D" w14:textId="77777777" w:rsidR="00E70CED" w:rsidRPr="00517B22" w:rsidRDefault="00E70CED" w:rsidP="001F115E">
            <w:pPr>
              <w:rPr>
                <w:rFonts w:eastAsia="Arial"/>
                <w:b/>
              </w:rPr>
            </w:pPr>
            <w:r w:rsidRPr="00517B22">
              <w:rPr>
                <w:rFonts w:eastAsia="Arial"/>
                <w:b/>
                <w:bCs/>
              </w:rPr>
              <w:t>1.5</w:t>
            </w:r>
          </w:p>
        </w:tc>
        <w:tc>
          <w:tcPr>
            <w:tcW w:w="3899" w:type="dxa"/>
          </w:tcPr>
          <w:p w14:paraId="1DDE7CF3" w14:textId="2FF7A402" w:rsidR="00E70CED" w:rsidRPr="00517B22" w:rsidRDefault="00E70CED" w:rsidP="001F115E">
            <w:pPr>
              <w:tabs>
                <w:tab w:val="left" w:pos="284"/>
              </w:tabs>
              <w:rPr>
                <w:b/>
                <w:bCs/>
                <w:lang w:eastAsia="lt-LT"/>
              </w:rPr>
            </w:pPr>
            <w:r w:rsidRPr="00517B22">
              <w:rPr>
                <w:b/>
                <w:bCs/>
                <w:lang w:eastAsia="lt-LT"/>
              </w:rPr>
              <w:t>Ar atliktas bendras klinikinis vertinimas</w:t>
            </w:r>
          </w:p>
          <w:p w14:paraId="0961228D" w14:textId="77777777" w:rsidR="00E70CED" w:rsidRPr="00517B22" w:rsidRDefault="00E70CED" w:rsidP="001F115E">
            <w:pPr>
              <w:tabs>
                <w:tab w:val="left" w:pos="284"/>
              </w:tabs>
              <w:rPr>
                <w:b/>
                <w:bCs/>
                <w:lang w:eastAsia="lt-LT"/>
              </w:rPr>
            </w:pPr>
            <w:r w:rsidRPr="00517B22">
              <w:rPr>
                <w:b/>
                <w:bCs/>
                <w:lang w:eastAsia="lt-LT"/>
              </w:rPr>
              <w:t>(Europos Parlamento ir Tarybos reglamentas (ES) 2021/2282)</w:t>
            </w:r>
          </w:p>
          <w:p w14:paraId="7B6C3C1B" w14:textId="77777777" w:rsidR="00336238" w:rsidRPr="00517B22" w:rsidRDefault="00336238" w:rsidP="001F115E">
            <w:pPr>
              <w:tabs>
                <w:tab w:val="left" w:pos="284"/>
              </w:tabs>
              <w:rPr>
                <w:b/>
                <w:bCs/>
                <w:lang w:eastAsia="lt-LT"/>
              </w:rPr>
            </w:pPr>
          </w:p>
        </w:tc>
        <w:tc>
          <w:tcPr>
            <w:tcW w:w="4962" w:type="dxa"/>
          </w:tcPr>
          <w:p w14:paraId="024AE31B" w14:textId="0662D0C7" w:rsidR="00E70CED" w:rsidRPr="00517B22" w:rsidRDefault="00000000" w:rsidP="001F115E">
            <w:sdt>
              <w:sdtPr>
                <w:rPr>
                  <w:rStyle w:val="Style2"/>
                  <w:sz w:val="24"/>
                </w:rPr>
                <w:id w:val="-1171564470"/>
                <w15:color w:val="FFCC00"/>
                <w14:checkbox>
                  <w14:checked w14:val="0"/>
                  <w14:checkedState w14:val="2612" w14:font="MS Gothic"/>
                  <w14:uncheckedState w14:val="2610" w14:font="MS Gothic"/>
                </w14:checkbox>
              </w:sdtPr>
              <w:sdtContent>
                <w:r w:rsidR="00E70CED" w:rsidRPr="00517B22">
                  <w:rPr>
                    <w:rStyle w:val="Style2"/>
                    <w:rFonts w:ascii="Segoe UI Symbol" w:eastAsia="MS Gothic" w:hAnsi="Segoe UI Symbol" w:cs="Segoe UI Symbol"/>
                    <w:sz w:val="24"/>
                  </w:rPr>
                  <w:t>☐</w:t>
                </w:r>
              </w:sdtContent>
            </w:sdt>
            <w:r w:rsidR="00E70CED" w:rsidRPr="00517B22">
              <w:t xml:space="preserve"> Taip       </w:t>
            </w:r>
            <w:r w:rsidR="00E70CED" w:rsidRPr="00517B22">
              <w:rPr>
                <w:rStyle w:val="Style2"/>
                <w:sz w:val="24"/>
              </w:rPr>
              <w:t xml:space="preserve"> </w:t>
            </w:r>
            <w:sdt>
              <w:sdtPr>
                <w:rPr>
                  <w:rStyle w:val="Style2"/>
                  <w:sz w:val="24"/>
                </w:rPr>
                <w:id w:val="1448122567"/>
                <w15:color w:val="FFCC00"/>
                <w14:checkbox>
                  <w14:checked w14:val="1"/>
                  <w14:checkedState w14:val="2612" w14:font="MS Gothic"/>
                  <w14:uncheckedState w14:val="2610" w14:font="MS Gothic"/>
                </w14:checkbox>
              </w:sdtPr>
              <w:sdtContent>
                <w:r w:rsidR="0021231B" w:rsidRPr="00517B22">
                  <w:rPr>
                    <w:rStyle w:val="Style2"/>
                    <w:rFonts w:ascii="MS Gothic" w:eastAsia="MS Gothic" w:hAnsi="MS Gothic"/>
                    <w:sz w:val="24"/>
                  </w:rPr>
                  <w:t>☒</w:t>
                </w:r>
              </w:sdtContent>
            </w:sdt>
            <w:r w:rsidR="00E70CED" w:rsidRPr="00517B22">
              <w:t xml:space="preserve"> Ne</w:t>
            </w:r>
          </w:p>
          <w:p w14:paraId="0DF729B3" w14:textId="042856F7" w:rsidR="00E70CED" w:rsidRPr="00517B22" w:rsidRDefault="00E70CED" w:rsidP="001F115E">
            <w:pPr>
              <w:rPr>
                <w:rStyle w:val="Style2"/>
                <w:sz w:val="24"/>
              </w:rPr>
            </w:pPr>
            <w:r w:rsidRPr="00517B22">
              <w:t xml:space="preserve">Data: </w:t>
            </w:r>
            <w:sdt>
              <w:sdtPr>
                <w:alias w:val="Nurodykite konkrečią dieną"/>
                <w:tag w:val="Nurodykite pradžios datą"/>
                <w:id w:val="1516880001"/>
                <w:placeholder>
                  <w:docPart w:val="313EC56AA2FD440FAB92ED675BD36BA0"/>
                </w:placeholder>
                <w:showingPlcHdr/>
                <w15:color w:val="FFCC99"/>
                <w:date w:fullDate="2022-05-18T00:00:00Z">
                  <w:dateFormat w:val="yyyy 'm.' MMMM d 'd.'"/>
                  <w:lid w:val="lt-LT"/>
                  <w:storeMappedDataAs w:val="dateTime"/>
                  <w:calendar w:val="gregorian"/>
                </w:date>
              </w:sdtPr>
              <w:sdtContent>
                <w:r w:rsidRPr="00517B22">
                  <w:rPr>
                    <w:rStyle w:val="Vietosrezervavimoenklotekstas"/>
                  </w:rPr>
                  <w:t>Click here to enter a date.</w:t>
                </w:r>
              </w:sdtContent>
            </w:sdt>
            <w:r w:rsidRPr="00517B22">
              <w:t xml:space="preserve"> </w:t>
            </w:r>
          </w:p>
        </w:tc>
      </w:tr>
      <w:tr w:rsidR="00496406" w:rsidRPr="00517B22" w14:paraId="15E36E93" w14:textId="77777777" w:rsidTr="003F3FFF">
        <w:trPr>
          <w:trHeight w:val="1278"/>
        </w:trPr>
        <w:tc>
          <w:tcPr>
            <w:tcW w:w="632" w:type="dxa"/>
          </w:tcPr>
          <w:p w14:paraId="5F43AA8F" w14:textId="77777777" w:rsidR="00496406" w:rsidRPr="00517B22" w:rsidRDefault="00496406" w:rsidP="00496406">
            <w:pPr>
              <w:rPr>
                <w:rFonts w:eastAsia="Arial"/>
                <w:b/>
                <w:bCs/>
              </w:rPr>
            </w:pPr>
            <w:r w:rsidRPr="00517B22">
              <w:rPr>
                <w:rFonts w:eastAsia="Arial"/>
                <w:b/>
                <w:bCs/>
              </w:rPr>
              <w:t>1.6</w:t>
            </w:r>
          </w:p>
        </w:tc>
        <w:tc>
          <w:tcPr>
            <w:tcW w:w="3899" w:type="dxa"/>
          </w:tcPr>
          <w:p w14:paraId="41F32942" w14:textId="77777777" w:rsidR="00496406" w:rsidRPr="00517B22" w:rsidRDefault="00496406" w:rsidP="00496406">
            <w:pPr>
              <w:rPr>
                <w:b/>
                <w:bCs/>
                <w:lang w:eastAsia="lt-LT"/>
              </w:rPr>
            </w:pPr>
            <w:r w:rsidRPr="00517B22">
              <w:rPr>
                <w:b/>
                <w:bCs/>
                <w:lang w:eastAsia="lt-LT"/>
              </w:rPr>
              <w:t xml:space="preserve">Teikiama kompensuoti terapinė indikacija </w:t>
            </w:r>
          </w:p>
          <w:p w14:paraId="2882A5BD" w14:textId="77777777" w:rsidR="00496406" w:rsidRPr="00517B22" w:rsidRDefault="00496406" w:rsidP="00496406">
            <w:pPr>
              <w:rPr>
                <w:b/>
                <w:bCs/>
                <w:lang w:eastAsia="lt-LT"/>
              </w:rPr>
            </w:pPr>
          </w:p>
          <w:p w14:paraId="371D188E" w14:textId="77777777" w:rsidR="00496406" w:rsidRPr="00517B22" w:rsidRDefault="00496406" w:rsidP="00496406">
            <w:pPr>
              <w:rPr>
                <w:b/>
                <w:bCs/>
                <w:lang w:eastAsia="lt-LT"/>
              </w:rPr>
            </w:pPr>
            <w:r w:rsidRPr="00517B22">
              <w:rPr>
                <w:b/>
                <w:bCs/>
                <w:lang w:eastAsia="lt-LT"/>
              </w:rPr>
              <w:t>Kodas pagal TLK-10 AM</w:t>
            </w:r>
          </w:p>
        </w:tc>
        <w:tc>
          <w:tcPr>
            <w:tcW w:w="4962" w:type="dxa"/>
          </w:tcPr>
          <w:p w14:paraId="14FAD081" w14:textId="77777777" w:rsidR="00496406" w:rsidRPr="00517B22" w:rsidRDefault="00496406" w:rsidP="00496406">
            <w:pPr>
              <w:jc w:val="both"/>
            </w:pPr>
            <w:r w:rsidRPr="00517B22">
              <w:t>Simptominis lėtinis širdies nepakankamumas, kai kairiojo skilvelio išstūmimo frakcija (KSIF) yra ≥40%</w:t>
            </w:r>
          </w:p>
          <w:p w14:paraId="751DAE11" w14:textId="77777777" w:rsidR="00496406" w:rsidRPr="00517B22" w:rsidRDefault="00496406" w:rsidP="00496406">
            <w:pPr>
              <w:jc w:val="both"/>
            </w:pPr>
          </w:p>
          <w:p w14:paraId="0EABC4C7" w14:textId="77777777" w:rsidR="00496406" w:rsidRPr="00517B22" w:rsidRDefault="00496406" w:rsidP="00496406">
            <w:pPr>
              <w:jc w:val="both"/>
            </w:pPr>
            <w:r w:rsidRPr="00517B22">
              <w:t>TLK-10 AM kodas: I50.</w:t>
            </w:r>
          </w:p>
          <w:p w14:paraId="10833DB8" w14:textId="02947936" w:rsidR="00496406" w:rsidRPr="00517B22" w:rsidRDefault="00496406" w:rsidP="00496406"/>
        </w:tc>
      </w:tr>
      <w:tr w:rsidR="00496406" w:rsidRPr="00517B22" w14:paraId="01C3C4F5" w14:textId="77777777" w:rsidTr="003F3FFF">
        <w:trPr>
          <w:trHeight w:val="378"/>
        </w:trPr>
        <w:tc>
          <w:tcPr>
            <w:tcW w:w="632" w:type="dxa"/>
          </w:tcPr>
          <w:p w14:paraId="5115AFC1" w14:textId="77777777" w:rsidR="00496406" w:rsidRPr="00517B22" w:rsidRDefault="00496406" w:rsidP="00496406">
            <w:pPr>
              <w:rPr>
                <w:rFonts w:eastAsia="Arial"/>
                <w:b/>
                <w:bCs/>
              </w:rPr>
            </w:pPr>
            <w:r w:rsidRPr="00517B22">
              <w:rPr>
                <w:rFonts w:eastAsia="Arial"/>
                <w:b/>
                <w:bCs/>
              </w:rPr>
              <w:lastRenderedPageBreak/>
              <w:t>1.7</w:t>
            </w:r>
          </w:p>
        </w:tc>
        <w:tc>
          <w:tcPr>
            <w:tcW w:w="3899" w:type="dxa"/>
          </w:tcPr>
          <w:p w14:paraId="48045B5A" w14:textId="77777777" w:rsidR="00496406" w:rsidRPr="00517B22" w:rsidRDefault="00496406" w:rsidP="00496406">
            <w:pPr>
              <w:rPr>
                <w:b/>
                <w:bCs/>
                <w:u w:val="single"/>
                <w:lang w:eastAsia="lt-LT"/>
              </w:rPr>
            </w:pPr>
            <w:r w:rsidRPr="00517B22">
              <w:rPr>
                <w:b/>
                <w:bCs/>
                <w:lang w:eastAsia="lt-LT"/>
              </w:rPr>
              <w:t xml:space="preserve">Teikiamos skyrimo sąlygos </w:t>
            </w:r>
          </w:p>
        </w:tc>
        <w:tc>
          <w:tcPr>
            <w:tcW w:w="4962" w:type="dxa"/>
          </w:tcPr>
          <w:p w14:paraId="6A31562C" w14:textId="5D60E468" w:rsidR="00496406" w:rsidRPr="00517B22" w:rsidRDefault="00496406" w:rsidP="00496406">
            <w:r w:rsidRPr="00517B22">
              <w:t>Pagal registruotas indikacijas</w:t>
            </w:r>
          </w:p>
        </w:tc>
      </w:tr>
      <w:tr w:rsidR="00E70CED" w:rsidRPr="00517B22" w14:paraId="3C32C984" w14:textId="77777777" w:rsidTr="003F3FFF">
        <w:trPr>
          <w:trHeight w:val="378"/>
        </w:trPr>
        <w:tc>
          <w:tcPr>
            <w:tcW w:w="632" w:type="dxa"/>
          </w:tcPr>
          <w:p w14:paraId="4E679EDB" w14:textId="77777777" w:rsidR="00E70CED" w:rsidRPr="00517B22" w:rsidRDefault="00E70CED" w:rsidP="001F115E">
            <w:pPr>
              <w:rPr>
                <w:rFonts w:eastAsia="Arial"/>
                <w:b/>
                <w:bCs/>
              </w:rPr>
            </w:pPr>
            <w:r w:rsidRPr="00517B22">
              <w:rPr>
                <w:rFonts w:eastAsia="Arial"/>
                <w:b/>
                <w:bCs/>
              </w:rPr>
              <w:t>1.8</w:t>
            </w:r>
          </w:p>
        </w:tc>
        <w:tc>
          <w:tcPr>
            <w:tcW w:w="3899" w:type="dxa"/>
          </w:tcPr>
          <w:p w14:paraId="784605B5" w14:textId="3A924C79" w:rsidR="00E70CED" w:rsidRPr="00517B22" w:rsidRDefault="00E70CED" w:rsidP="001F115E">
            <w:pPr>
              <w:rPr>
                <w:b/>
                <w:bCs/>
                <w:lang w:eastAsia="lt-LT"/>
              </w:rPr>
            </w:pPr>
            <w:r w:rsidRPr="00517B22">
              <w:rPr>
                <w:b/>
                <w:bCs/>
                <w:lang w:eastAsia="lt-LT"/>
              </w:rPr>
              <w:t>Ekonominė analizė</w:t>
            </w:r>
          </w:p>
        </w:tc>
        <w:tc>
          <w:tcPr>
            <w:tcW w:w="4962" w:type="dxa"/>
          </w:tcPr>
          <w:p w14:paraId="3155F2E8" w14:textId="5112541B" w:rsidR="00E70CED" w:rsidRPr="00517B22" w:rsidRDefault="00000000" w:rsidP="001F115E">
            <w:sdt>
              <w:sdtPr>
                <w:rPr>
                  <w:rStyle w:val="Style2"/>
                  <w:sz w:val="24"/>
                </w:rPr>
                <w:id w:val="356323367"/>
                <w15:color w:val="FFCC00"/>
                <w14:checkbox>
                  <w14:checked w14:val="1"/>
                  <w14:checkedState w14:val="2612" w14:font="MS Gothic"/>
                  <w14:uncheckedState w14:val="2610" w14:font="MS Gothic"/>
                </w14:checkbox>
              </w:sdtPr>
              <w:sdtContent>
                <w:r w:rsidR="0021231B" w:rsidRPr="00517B22">
                  <w:rPr>
                    <w:rStyle w:val="Style2"/>
                    <w:rFonts w:ascii="MS Gothic" w:eastAsia="MS Gothic" w:hAnsi="MS Gothic"/>
                    <w:sz w:val="24"/>
                  </w:rPr>
                  <w:t>☒</w:t>
                </w:r>
              </w:sdtContent>
            </w:sdt>
            <w:r w:rsidR="00E70CED" w:rsidRPr="00517B22">
              <w:t xml:space="preserve"> Kaštų naudingumo analizė</w:t>
            </w:r>
          </w:p>
          <w:p w14:paraId="49547563" w14:textId="77777777" w:rsidR="00E70CED" w:rsidRPr="00517B22" w:rsidRDefault="00000000" w:rsidP="001F115E">
            <w:sdt>
              <w:sdtPr>
                <w:rPr>
                  <w:rStyle w:val="Style2"/>
                  <w:sz w:val="24"/>
                </w:rPr>
                <w:id w:val="-250506580"/>
                <w15:color w:val="FFCC00"/>
                <w14:checkbox>
                  <w14:checked w14:val="0"/>
                  <w14:checkedState w14:val="2612" w14:font="MS Gothic"/>
                  <w14:uncheckedState w14:val="2610" w14:font="MS Gothic"/>
                </w14:checkbox>
              </w:sdtPr>
              <w:sdtContent>
                <w:r w:rsidR="00E70CED" w:rsidRPr="00517B22">
                  <w:rPr>
                    <w:rStyle w:val="Style2"/>
                    <w:rFonts w:ascii="Segoe UI Symbol" w:eastAsia="MS Gothic" w:hAnsi="Segoe UI Symbol" w:cs="Segoe UI Symbol"/>
                    <w:sz w:val="24"/>
                  </w:rPr>
                  <w:t>☐</w:t>
                </w:r>
              </w:sdtContent>
            </w:sdt>
            <w:r w:rsidR="00E70CED" w:rsidRPr="00517B22">
              <w:t xml:space="preserve"> Kaštų mažinimo analizė</w:t>
            </w:r>
          </w:p>
          <w:p w14:paraId="42039008" w14:textId="5726D9D8" w:rsidR="00FE5878" w:rsidRPr="00517B22" w:rsidRDefault="00000000" w:rsidP="00FE5878">
            <w:sdt>
              <w:sdtPr>
                <w:rPr>
                  <w:rStyle w:val="Style2"/>
                  <w:sz w:val="24"/>
                </w:rPr>
                <w:id w:val="-1570647133"/>
                <w15:color w:val="FFCC00"/>
                <w14:checkbox>
                  <w14:checked w14:val="0"/>
                  <w14:checkedState w14:val="2612" w14:font="MS Gothic"/>
                  <w14:uncheckedState w14:val="2610" w14:font="MS Gothic"/>
                </w14:checkbox>
              </w:sdtPr>
              <w:sdtContent>
                <w:r w:rsidR="00FE5878" w:rsidRPr="00517B22">
                  <w:rPr>
                    <w:rStyle w:val="Style2"/>
                    <w:rFonts w:ascii="Segoe UI Symbol" w:eastAsia="MS Gothic" w:hAnsi="Segoe UI Symbol" w:cs="Segoe UI Symbol"/>
                    <w:sz w:val="24"/>
                  </w:rPr>
                  <w:t>☐</w:t>
                </w:r>
              </w:sdtContent>
            </w:sdt>
            <w:r w:rsidR="00FE5878" w:rsidRPr="00517B22">
              <w:t xml:space="preserve"> Neteikiama</w:t>
            </w:r>
          </w:p>
          <w:p w14:paraId="5DC5A0C1" w14:textId="77777777" w:rsidR="00FE5878" w:rsidRPr="00517B22" w:rsidRDefault="00FE5878" w:rsidP="001F115E"/>
          <w:p w14:paraId="4B0FE78C" w14:textId="77777777" w:rsidR="00E70CED" w:rsidRPr="00517B22" w:rsidRDefault="00E70CED" w:rsidP="001F115E"/>
        </w:tc>
      </w:tr>
    </w:tbl>
    <w:p w14:paraId="2EB7FD31" w14:textId="5615B363" w:rsidR="007A2B68" w:rsidRPr="00517B22" w:rsidRDefault="00DC261A" w:rsidP="00063A50">
      <w:pPr>
        <w:pStyle w:val="Sraopastraipa"/>
        <w:tabs>
          <w:tab w:val="left" w:pos="426"/>
        </w:tabs>
        <w:ind w:left="0"/>
        <w:jc w:val="center"/>
        <w:rPr>
          <w:b/>
          <w:bCs/>
          <w:caps/>
        </w:rPr>
      </w:pPr>
      <w:r w:rsidRPr="00517B22">
        <w:rPr>
          <w:b/>
          <w:bCs/>
          <w:caps/>
        </w:rPr>
        <w:t>___________________</w:t>
      </w:r>
    </w:p>
    <w:p w14:paraId="73290081" w14:textId="77777777" w:rsidR="007A2B68" w:rsidRPr="00517B22" w:rsidRDefault="007A2B68">
      <w:pPr>
        <w:rPr>
          <w:b/>
          <w:bCs/>
          <w:caps/>
        </w:rPr>
      </w:pPr>
      <w:r w:rsidRPr="00517B22">
        <w:rPr>
          <w:b/>
          <w:bCs/>
          <w:caps/>
        </w:rPr>
        <w:br w:type="page"/>
      </w:r>
    </w:p>
    <w:p w14:paraId="5055E8A8" w14:textId="711E5B0C" w:rsidR="002E6F80" w:rsidRPr="00517B22" w:rsidRDefault="00CC7832" w:rsidP="00CC09D4">
      <w:pPr>
        <w:pStyle w:val="Sraopastraipa"/>
        <w:numPr>
          <w:ilvl w:val="0"/>
          <w:numId w:val="12"/>
        </w:numPr>
        <w:tabs>
          <w:tab w:val="left" w:pos="567"/>
        </w:tabs>
        <w:ind w:hanging="720"/>
        <w:rPr>
          <w:b/>
          <w:bCs/>
          <w:caps/>
        </w:rPr>
      </w:pPr>
      <w:r w:rsidRPr="00517B22">
        <w:rPr>
          <w:b/>
          <w:bCs/>
          <w:caps/>
        </w:rPr>
        <w:lastRenderedPageBreak/>
        <w:t>Klinikinio vertinimo a</w:t>
      </w:r>
      <w:r w:rsidR="00D4485B" w:rsidRPr="00517B22">
        <w:rPr>
          <w:b/>
          <w:bCs/>
          <w:caps/>
        </w:rPr>
        <w:t>pibendrinimas</w:t>
      </w:r>
    </w:p>
    <w:p w14:paraId="3124352C" w14:textId="77777777" w:rsidR="0021231B" w:rsidRPr="00517B22" w:rsidRDefault="0021231B" w:rsidP="00A93AA6">
      <w:pPr>
        <w:pStyle w:val="Sraopastraipa"/>
        <w:tabs>
          <w:tab w:val="left" w:pos="426"/>
        </w:tabs>
        <w:ind w:left="0"/>
        <w:rPr>
          <w:b/>
          <w:bCs/>
          <w:caps/>
        </w:rPr>
      </w:pPr>
    </w:p>
    <w:p w14:paraId="37FFA835" w14:textId="23C7895C" w:rsidR="00E42A87" w:rsidRPr="00517B22" w:rsidRDefault="00E42A87" w:rsidP="00D361CE">
      <w:pPr>
        <w:widowControl w:val="0"/>
        <w:spacing w:line="276" w:lineRule="auto"/>
        <w:ind w:firstLine="720"/>
        <w:jc w:val="both"/>
        <w:rPr>
          <w:rFonts w:eastAsia="Arial"/>
          <w:bCs/>
          <w:iCs/>
        </w:rPr>
      </w:pPr>
      <w:r w:rsidRPr="00517B22">
        <w:rPr>
          <w:bCs/>
          <w:color w:val="000000"/>
          <w:lang w:eastAsia="lt-LT"/>
        </w:rPr>
        <w:t xml:space="preserve">Širdies nepakankamumas (ŠN) yra dėl patologinių širdies struktūrinių ar funkcinių pokyčių besivystantis klinikinis sindromas, kuriam būdingi specifiniai simptomai (dusulys, kojų tinimas, greitas nuovargis) ir klinikiniai požymiai (padidėjęs jungo venos spaudimas, staziniai karkalai plaučiuose ir periferinės edemos), atsirandantys dėl nepakankamo širdies minutinio tūrio fizinio krūvio metu ir/ar ramybėje. Ligotumas didėja vyresniame amžiuje: ŠN nustatomas &lt;1% pacientų, kurie jaunesnis nei 55 metai ir &gt;10% pacientų, kurie vyresni nei 70 metų. </w:t>
      </w:r>
      <w:r w:rsidRPr="00517B22">
        <w:rPr>
          <w:rFonts w:eastAsia="Arial"/>
          <w:bCs/>
          <w:iCs/>
        </w:rPr>
        <w:t>ŠN pagal kairiojo skilvelio išstūmimo frakciją (KSIF) grupuojamas į 3 grupes</w:t>
      </w:r>
      <w:r w:rsidR="00D361CE" w:rsidRPr="00517B22">
        <w:rPr>
          <w:rFonts w:eastAsia="Arial"/>
          <w:bCs/>
          <w:iCs/>
        </w:rPr>
        <w:t xml:space="preserve">: </w:t>
      </w:r>
      <w:r w:rsidRPr="00517B22">
        <w:rPr>
          <w:rFonts w:eastAsia="Arial"/>
          <w:bCs/>
          <w:iCs/>
        </w:rPr>
        <w:t>sumažėjusi, kai KSIF ≤ 40%</w:t>
      </w:r>
      <w:r w:rsidR="00D361CE" w:rsidRPr="00517B22">
        <w:rPr>
          <w:rFonts w:eastAsia="Arial"/>
          <w:bCs/>
          <w:iCs/>
        </w:rPr>
        <w:t xml:space="preserve"> (toliau - ŠNsIF)</w:t>
      </w:r>
      <w:r w:rsidRPr="00517B22">
        <w:rPr>
          <w:rFonts w:eastAsia="Arial"/>
          <w:bCs/>
          <w:iCs/>
        </w:rPr>
        <w:t>; vidutiniškai sumažėjusi, kai KSIF 41 – 49%</w:t>
      </w:r>
      <w:r w:rsidR="00D361CE" w:rsidRPr="00517B22">
        <w:rPr>
          <w:rFonts w:eastAsia="Arial"/>
          <w:bCs/>
          <w:iCs/>
        </w:rPr>
        <w:t xml:space="preserve"> (toliau - ŠNvsIF)</w:t>
      </w:r>
      <w:r w:rsidRPr="00517B22">
        <w:rPr>
          <w:rFonts w:eastAsia="Arial"/>
          <w:bCs/>
          <w:iCs/>
        </w:rPr>
        <w:t>; išlikusi, kai KSIF ≥ 50%</w:t>
      </w:r>
      <w:r w:rsidR="00D361CE" w:rsidRPr="00517B22">
        <w:rPr>
          <w:rFonts w:eastAsia="Arial"/>
          <w:bCs/>
          <w:iCs/>
        </w:rPr>
        <w:t xml:space="preserve"> (toliau -</w:t>
      </w:r>
      <w:r w:rsidRPr="00517B22">
        <w:rPr>
          <w:rFonts w:eastAsia="Arial"/>
          <w:bCs/>
          <w:iCs/>
        </w:rPr>
        <w:t xml:space="preserve">ŠNiIF), pagal Niujorko širdies asociacijos (angl. </w:t>
      </w:r>
      <w:r w:rsidRPr="00517B22">
        <w:rPr>
          <w:rFonts w:eastAsia="Arial"/>
          <w:bCs/>
          <w:i/>
        </w:rPr>
        <w:t>New York Heart Association</w:t>
      </w:r>
      <w:r w:rsidRPr="00517B22">
        <w:rPr>
          <w:rFonts w:eastAsia="Arial"/>
          <w:bCs/>
          <w:iCs/>
        </w:rPr>
        <w:t xml:space="preserve">, </w:t>
      </w:r>
      <w:r w:rsidRPr="00517B22">
        <w:rPr>
          <w:rFonts w:eastAsia="Arial"/>
          <w:bCs/>
          <w:i/>
        </w:rPr>
        <w:t>NYHA</w:t>
      </w:r>
      <w:r w:rsidRPr="00517B22">
        <w:rPr>
          <w:rFonts w:eastAsia="Arial"/>
          <w:bCs/>
          <w:iCs/>
        </w:rPr>
        <w:t>) pacientų funkcinės būklės klasifikaciją – į 4 grupes (I klasė – įprastas fizinis krūvis nesukelia simptomų, IV klasė – simptomai ramybėje).</w:t>
      </w:r>
    </w:p>
    <w:p w14:paraId="65E4CAB3" w14:textId="4323A4A4" w:rsidR="00E42A87" w:rsidRPr="00517B22" w:rsidRDefault="00E42A87" w:rsidP="00D361CE">
      <w:pPr>
        <w:tabs>
          <w:tab w:val="left" w:pos="426"/>
        </w:tabs>
        <w:spacing w:line="276" w:lineRule="auto"/>
        <w:jc w:val="both"/>
        <w:rPr>
          <w:rFonts w:eastAsia="Arial"/>
          <w:iCs/>
        </w:rPr>
      </w:pPr>
      <w:r w:rsidRPr="00517B22">
        <w:rPr>
          <w:rFonts w:eastAsia="Arial"/>
          <w:iCs/>
        </w:rPr>
        <w:tab/>
      </w:r>
      <w:r w:rsidRPr="00517B22">
        <w:rPr>
          <w:rFonts w:eastAsia="Arial"/>
          <w:iCs/>
        </w:rPr>
        <w:tab/>
        <w:t>2021 m. p</w:t>
      </w:r>
      <w:r w:rsidR="00D361CE" w:rsidRPr="00517B22">
        <w:rPr>
          <w:rFonts w:eastAsia="Arial"/>
          <w:iCs/>
        </w:rPr>
        <w:t>askelbtose</w:t>
      </w:r>
      <w:r w:rsidRPr="00517B22">
        <w:rPr>
          <w:rFonts w:eastAsia="Arial"/>
          <w:iCs/>
        </w:rPr>
        <w:t xml:space="preserve"> Europos kardiologų draugijos (EKD) ŠN diagnostikos ir gydymo gairėse nustačius ŠNvsIF pacientui gali būti svarstomi ligos eigą modifikuojantys trijų grupių vaistiniai preparatai: 1) angiotenziną konvertuojančio fermento inhibitoriai (AKFi; IIbC rekomendacija) arba angiotenzino receptorių – neprilizino inhibitoriai (ARNI; IIbC rekomendacija); 2) beta – adrenoblokatoriai (BAB; IIbC rekomendacija); 3) mineralkortikoidų receptorių antagonistai (MRA; IIbC rekomendacija). Netoleruojant AKFi ir/ar ARNI, vietoj vieno iš šių preparatų gali būti skiriami angiotenzino receptorių blokatoriai (ARB; IIbC rekomendacija). Diuretikai (esant skysčių susilaikymo – staziniams – požymiams) rekomenduojami siekiant geresnės simptomų kontrolės, tačiau mirties dėl ŠN rizikos nemažina (IC rekomendacija). Esant ŠNiIF, rekomendacijos apie ligos eigą modifikuojančių vaistinių preparatų skyrimą nepateikiamos, tačiau ši pacientų grupė neretai vartoja AKFi/ARB, BAB, MRA dėl gretutinių ligų (arterinės hipertenzijos, koronarinė širdies liga, prieširdžių virpėjimas ir kt.). Siekiant geresnės ŠN simptomų kontrolės rekomenduojami diuretikai (IC rekomendacija).</w:t>
      </w:r>
    </w:p>
    <w:p w14:paraId="15411FE1" w14:textId="39299C6B" w:rsidR="00E42A87" w:rsidRPr="00517B22" w:rsidRDefault="00E42A87" w:rsidP="00D361CE">
      <w:pPr>
        <w:tabs>
          <w:tab w:val="left" w:pos="426"/>
        </w:tabs>
        <w:spacing w:line="276" w:lineRule="auto"/>
        <w:jc w:val="both"/>
        <w:rPr>
          <w:rFonts w:eastAsia="Arial"/>
          <w:iCs/>
        </w:rPr>
      </w:pPr>
      <w:r w:rsidRPr="00517B22">
        <w:rPr>
          <w:rFonts w:eastAsia="Arial"/>
          <w:iCs/>
        </w:rPr>
        <w:tab/>
      </w:r>
      <w:r w:rsidRPr="00517B22">
        <w:rPr>
          <w:rFonts w:eastAsia="Arial"/>
          <w:iCs/>
        </w:rPr>
        <w:tab/>
        <w:t xml:space="preserve">2023 m. </w:t>
      </w:r>
      <w:r w:rsidR="003837DC" w:rsidRPr="00517B22">
        <w:rPr>
          <w:rFonts w:eastAsia="Arial"/>
          <w:iCs/>
        </w:rPr>
        <w:t>paskelbtose</w:t>
      </w:r>
      <w:r w:rsidRPr="00517B22">
        <w:rPr>
          <w:rFonts w:eastAsia="Arial"/>
          <w:iCs/>
        </w:rPr>
        <w:t xml:space="preserve"> EKD ŠN diagnostikos ir gydymo gairių papildyme nustačius simptominį ŠNvsIF arba ŠNiIF pacientui rekomenduojamas gydymas </w:t>
      </w:r>
      <w:r w:rsidRPr="00517B22">
        <w:t xml:space="preserve">natrio gliukozės 2 nešiklio inhibitoriumi (angl. </w:t>
      </w:r>
      <w:r w:rsidRPr="00517B22">
        <w:rPr>
          <w:i/>
          <w:iCs/>
        </w:rPr>
        <w:t>Sodium-glucose co-transporter 2 inhibitor</w:t>
      </w:r>
      <w:r w:rsidRPr="00517B22">
        <w:t xml:space="preserve">, SGLT2i) – </w:t>
      </w:r>
      <w:r w:rsidRPr="00517B22">
        <w:rPr>
          <w:rFonts w:eastAsia="Arial"/>
          <w:iCs/>
        </w:rPr>
        <w:t xml:space="preserve"> dapagliflozinu arba empagliflozinu (IA rekomendacija). Esant ŠNvsIF gali būti svarstomi jau minėti ligos eigą modifikuojantys trijų grupių vaistiniai preparatai (IIbB rekomendacijos). Abiem atvejais siekiant geresnės ŠN simptomų kontrolės rekomenduojami diuretikai (IC rekomendacija).</w:t>
      </w:r>
    </w:p>
    <w:p w14:paraId="7E70AEF6" w14:textId="3EDB5112" w:rsidR="00E42A87" w:rsidRPr="00517B22" w:rsidRDefault="00E42A87" w:rsidP="00D361CE">
      <w:pPr>
        <w:tabs>
          <w:tab w:val="left" w:pos="426"/>
        </w:tabs>
        <w:spacing w:line="276" w:lineRule="auto"/>
        <w:jc w:val="both"/>
      </w:pPr>
      <w:r w:rsidRPr="00517B22">
        <w:rPr>
          <w:rFonts w:eastAsia="Arial"/>
          <w:iCs/>
        </w:rPr>
        <w:tab/>
      </w:r>
      <w:r w:rsidRPr="00517B22">
        <w:rPr>
          <w:rFonts w:eastAsia="Arial"/>
          <w:iCs/>
        </w:rPr>
        <w:tab/>
      </w:r>
      <w:r w:rsidRPr="00517B22">
        <w:t>Par</w:t>
      </w:r>
      <w:r w:rsidR="003837DC" w:rsidRPr="00517B22">
        <w:t>aiškoje nurodyta,</w:t>
      </w:r>
      <w:r w:rsidRPr="00517B22">
        <w:t xml:space="preserve"> jog finerenonas šiuo metu Lietuvoje taikomoje gydymo schemoje turėtų papildyti standartinį pacientams skiriamą medikamentinį ŠN gydymą. Lietuvoje ŠNvsIF ir ŠNiIF (TLK – 10 kodas I50) gydymui (I ir II klasės arba III ir IV klasės širdies veiklos (kraujotakos) nepakankamumui) kompensuojami dalis AKFi (kaptoprilis, enalaprilis, fosinoprilis, perindoprilis, kvinaprilis, ramiprilis), BAB (bisoprololis, metoprololis, karvedilolis, nebivololis), spironolaktonas (vienintelis kompensuojamas MRA esant tiek ŠNsIF, tiek ŠNvsIF ir ŠNiIF), SGLT2 inhibitoriai (dapagliflozinas ir empagliflozinas), diuretikai (furozemidas, torazemidas), ivabradinas ir digoksinas. ARNI (sakubitrilas/valsartanas) esant ŠNvsIF ir ŠNiIF nekompensuojamas.</w:t>
      </w:r>
    </w:p>
    <w:p w14:paraId="43F5045C" w14:textId="00781B73" w:rsidR="00E42A87" w:rsidRPr="00517B22" w:rsidRDefault="00E42A87" w:rsidP="00D361CE">
      <w:pPr>
        <w:tabs>
          <w:tab w:val="left" w:pos="426"/>
        </w:tabs>
        <w:spacing w:line="276" w:lineRule="auto"/>
        <w:jc w:val="both"/>
      </w:pPr>
      <w:r w:rsidRPr="00517B22">
        <w:tab/>
      </w:r>
      <w:r w:rsidRPr="00517B22">
        <w:tab/>
        <w:t xml:space="preserve">Atsižvelgiant į EKD gairėse nurodomą informaciją, pacientų, kuriems nustatyta ŠNvsIF ar ŠNiIF, populiacijoje AKFi/ARB/ARNI, MRA ir BAB iš esmės turi ribotus įrodymus, jog jie mažina kardiovaskulinį mirštamumą ir/ar hospitalizacijas dėl ŠN. Kadangi SGLT2i (dapagliflozinas ir empagliflozinas) yra vieninteliai vaistiniai preparatai turintys tokio tipo duomenis, klinikinėje dalyje </w:t>
      </w:r>
      <w:r w:rsidR="003837DC" w:rsidRPr="00517B22">
        <w:t>įvertintas</w:t>
      </w:r>
      <w:r w:rsidRPr="00517B22">
        <w:t xml:space="preserve"> placebo ir finerenono (kartu su geriausiu palaikomuoju gydymu) ir/ar SGLT2i ir fineronono derinio (kartu su geriausiu palaikomuoju gydymu) bei SGLT2i palyginamasis veiksmingumas gydant </w:t>
      </w:r>
      <w:r w:rsidRPr="00517B22">
        <w:lastRenderedPageBreak/>
        <w:t>ŠNvsIF ir/ar ŠNiIF. Tarp vartojančių spironolaktoną (steroidinis MRA), finerenonas turėtų būti jo alternatyva.</w:t>
      </w:r>
    </w:p>
    <w:p w14:paraId="29B513F7" w14:textId="77777777" w:rsidR="00E42A87" w:rsidRPr="00517B22" w:rsidRDefault="00E42A87" w:rsidP="00D361CE">
      <w:pPr>
        <w:tabs>
          <w:tab w:val="left" w:pos="426"/>
        </w:tabs>
        <w:spacing w:line="276" w:lineRule="auto"/>
        <w:jc w:val="both"/>
        <w:rPr>
          <w:bCs/>
          <w:color w:val="000000"/>
          <w:lang w:eastAsia="lt-LT"/>
        </w:rPr>
      </w:pPr>
    </w:p>
    <w:p w14:paraId="22CBBCB4" w14:textId="77777777" w:rsidR="00E42A87" w:rsidRPr="00517B22" w:rsidRDefault="00E42A87" w:rsidP="00D361CE">
      <w:pPr>
        <w:widowControl w:val="0"/>
        <w:spacing w:line="276" w:lineRule="auto"/>
        <w:jc w:val="both"/>
        <w:rPr>
          <w:bCs/>
          <w:i/>
          <w:iCs/>
          <w:color w:val="000000"/>
          <w:lang w:eastAsia="lt-LT"/>
        </w:rPr>
      </w:pPr>
      <w:r w:rsidRPr="00517B22">
        <w:rPr>
          <w:bCs/>
          <w:i/>
          <w:iCs/>
          <w:color w:val="000000"/>
          <w:lang w:eastAsia="lt-LT"/>
        </w:rPr>
        <w:t>Tiesioginis palyginimas</w:t>
      </w:r>
    </w:p>
    <w:p w14:paraId="7D131449" w14:textId="77777777" w:rsidR="00E42A87" w:rsidRPr="00517B22" w:rsidRDefault="00E42A87" w:rsidP="00D361CE">
      <w:pPr>
        <w:widowControl w:val="0"/>
        <w:spacing w:line="276" w:lineRule="auto"/>
        <w:jc w:val="both"/>
        <w:rPr>
          <w:bCs/>
          <w:i/>
          <w:iCs/>
          <w:color w:val="000000"/>
          <w:lang w:eastAsia="lt-LT"/>
        </w:rPr>
      </w:pPr>
    </w:p>
    <w:p w14:paraId="5FFE3EFC" w14:textId="5CD0315A" w:rsidR="00E42A87" w:rsidRPr="00517B22" w:rsidRDefault="00E42A87" w:rsidP="00D361CE">
      <w:pPr>
        <w:tabs>
          <w:tab w:val="left" w:pos="492"/>
        </w:tabs>
        <w:spacing w:line="276" w:lineRule="auto"/>
        <w:jc w:val="both"/>
        <w:outlineLvl w:val="1"/>
        <w:rPr>
          <w:rFonts w:eastAsia="Arial"/>
          <w:bCs/>
        </w:rPr>
      </w:pPr>
      <w:r w:rsidRPr="00517B22">
        <w:rPr>
          <w:bCs/>
          <w:color w:val="000000"/>
          <w:lang w:eastAsia="lt-LT"/>
        </w:rPr>
        <w:tab/>
      </w:r>
      <w:r w:rsidRPr="00517B22">
        <w:rPr>
          <w:bCs/>
          <w:color w:val="000000"/>
          <w:lang w:eastAsia="lt-LT"/>
        </w:rPr>
        <w:tab/>
      </w:r>
      <w:r w:rsidR="003837DC" w:rsidRPr="00517B22">
        <w:rPr>
          <w:bCs/>
          <w:color w:val="000000"/>
          <w:lang w:eastAsia="lt-LT"/>
        </w:rPr>
        <w:t>Finerenono palyginamasis veiksmingumas vertintas</w:t>
      </w:r>
      <w:r w:rsidRPr="00517B22">
        <w:rPr>
          <w:bCs/>
          <w:color w:val="000000"/>
          <w:lang w:eastAsia="lt-LT"/>
        </w:rPr>
        <w:t xml:space="preserve"> pagal paraiškoje pateiktą klinikinį tyrimą FINEARTS-HF. Jame įrodyta, jog 40 metų ir vyresniems pacientams, kuriems </w:t>
      </w:r>
      <w:r w:rsidRPr="00517B22">
        <w:rPr>
          <w:rFonts w:eastAsia="Arial"/>
          <w:bCs/>
        </w:rPr>
        <w:t>nustatytas simptominis ŠNvsIF arba ŠNiIF</w:t>
      </w:r>
      <w:r w:rsidRPr="00517B22">
        <w:rPr>
          <w:bCs/>
          <w:color w:val="000000"/>
          <w:lang w:eastAsia="lt-LT"/>
        </w:rPr>
        <w:t xml:space="preserve"> ir dėl būklės išlieka padidėję laboratoriniai ŠN žymenys ir funkcinis apribojimas, finerenono grupėje mirties nuo širdies ir kraujagyslių ligų (ŠKL) ir ŠN paūmėjimo įvykių (pirminė išplėstinė sudedamoji vertinamoji baigtis) dažnis buvo 16% mažesnis, lyginant su placebo (</w:t>
      </w:r>
      <w:r w:rsidRPr="00517B22">
        <w:rPr>
          <w:rFonts w:eastAsia="Arial"/>
          <w:bCs/>
        </w:rPr>
        <w:t>dažnių santykis (DS) 0,84; 95% PI 0,74 – 0,95; P = 0,007; 14,9 ir 17,7 įvykių 100 paciento metų). Panašios tendencijos stebėtos visuose iš anksto numatytuose pogrupiuose. Tais atvejais, kai pacientai vartojo SGLT2i, statistiškai reikšmingo pirminės baigties skirtumo tarp finerenono ir placebo grupių nenustatyta (DS 0,83; 95% PI 0,60 – 1,16). Vertinant įvykius atskirai, mirties nuo ŠKL rizika tarp grupių nesiskyrė (RS 0,93; 95% PI 0,78 – 1,11; P = 0,412).</w:t>
      </w:r>
    </w:p>
    <w:p w14:paraId="37C33D29" w14:textId="77777777" w:rsidR="00E42A87" w:rsidRPr="00517B22" w:rsidRDefault="00E42A87" w:rsidP="00D361CE">
      <w:pPr>
        <w:tabs>
          <w:tab w:val="left" w:pos="492"/>
        </w:tabs>
        <w:spacing w:line="276" w:lineRule="auto"/>
        <w:jc w:val="both"/>
        <w:outlineLvl w:val="1"/>
        <w:rPr>
          <w:rFonts w:eastAsia="Arial"/>
          <w:bCs/>
        </w:rPr>
      </w:pPr>
      <w:r w:rsidRPr="00517B22">
        <w:rPr>
          <w:rFonts w:eastAsia="Arial"/>
          <w:bCs/>
        </w:rPr>
        <w:tab/>
      </w:r>
      <w:r w:rsidRPr="00517B22">
        <w:rPr>
          <w:rFonts w:eastAsia="Arial"/>
          <w:bCs/>
        </w:rPr>
        <w:tab/>
        <w:t>Vertinant pagal hierarchinę statistinę analizę numatytas antrines vertinamąsias baigtis, pirmosios baigties (bendras ŠN įvykių dažnis) tikimybė buvo 18% mažesnė finerenono grupėje, lyginant su placebo (DS 0,82; 95% PI 0,71 – 0,94; P = 0,006). Vertinant antrąją baigtį, klinikinė būklė pagal KCCQ-TSS klausimyną po 6, 9 ir 12 mėn. finerenono grupėje pagerėjo 1,6 (0,8 – 2,3; P &lt; 0,001) balu daugiau, lyginant su placebo. NYHA funkcinės klasės pagerėjimo po 12 mėn. tikimybė tarp grupių nesiskyrė (DS 1,01; 95% 0,88 – 1,15). Reikšmingo inkstų funkcijos pablogėjimo (RS 1,33; 95% PI 0,94 – 1,89) ir mirties nuo bet kokios priežasties (RS 0,93; 95% PI 0,83 – 1,06) tarp grupių nesiskyrė.</w:t>
      </w:r>
    </w:p>
    <w:p w14:paraId="580E3226" w14:textId="77777777" w:rsidR="00E42A87" w:rsidRPr="00517B22" w:rsidRDefault="00E42A87" w:rsidP="00D361CE">
      <w:pPr>
        <w:tabs>
          <w:tab w:val="left" w:pos="492"/>
        </w:tabs>
        <w:spacing w:line="276" w:lineRule="auto"/>
        <w:jc w:val="both"/>
        <w:outlineLvl w:val="1"/>
        <w:rPr>
          <w:rFonts w:eastAsia="Arial"/>
          <w:bCs/>
        </w:rPr>
      </w:pPr>
      <w:r w:rsidRPr="00517B22">
        <w:rPr>
          <w:rFonts w:eastAsia="Arial"/>
          <w:bCs/>
        </w:rPr>
        <w:tab/>
      </w:r>
      <w:r w:rsidRPr="00517B22">
        <w:rPr>
          <w:rFonts w:eastAsia="Arial"/>
          <w:bCs/>
        </w:rPr>
        <w:tab/>
        <w:t>Vertinant aktualiausias į hierarchinę analizę neįtrauktas antrines baigtis, finerenono grupėje buvo mažesnė cukrinio diabeto išsivystymo (RS 0,76; 95% PI 0,59 – 0,97; P</w:t>
      </w:r>
      <w:r w:rsidRPr="00517B22">
        <w:rPr>
          <w:rFonts w:eastAsia="Arial"/>
          <w:bCs/>
        </w:rPr>
        <w:softHyphen/>
        <w:t>=0,026) ir ambulatorinio gydymo diuretikais intensyvinimo (RS 0,89; 95% PI 0,80 – 0,98; P</w:t>
      </w:r>
      <w:r w:rsidRPr="00517B22">
        <w:rPr>
          <w:rFonts w:eastAsia="Arial"/>
          <w:bCs/>
        </w:rPr>
        <w:softHyphen/>
        <w:t>=0,02) rizika, lyginant su placebo. Pakartotinių su ŠN ir ŠKL susijusių hospitalizacijų rizika tarp grupių nesiskyrė, tačiau stebėta tendencija finerenono naudai. Pakartotinės hospitalizacijos dėl bet kokių priežasčių tarp grupių nesiskyrė.</w:t>
      </w:r>
    </w:p>
    <w:p w14:paraId="33A6B6FE" w14:textId="77777777" w:rsidR="00E42A87" w:rsidRPr="00517B22" w:rsidRDefault="00E42A87" w:rsidP="00D361CE">
      <w:pPr>
        <w:widowControl w:val="0"/>
        <w:spacing w:line="276" w:lineRule="auto"/>
        <w:ind w:firstLine="720"/>
        <w:jc w:val="both"/>
        <w:rPr>
          <w:bCs/>
          <w:color w:val="000000"/>
          <w:lang w:eastAsia="lt-LT"/>
        </w:rPr>
      </w:pPr>
      <w:r w:rsidRPr="00517B22">
        <w:rPr>
          <w:rFonts w:eastAsia="Arial"/>
          <w:bCs/>
        </w:rPr>
        <w:t xml:space="preserve">Vertinant pacientų praneštas baigtis, pacientų jaučiami simptomai, funkcinė būklė ir gyvenimo kokybė finerenono grupėje pagerėjo daugiau nei placebo grupėje. </w:t>
      </w:r>
      <w:r w:rsidRPr="00517B22">
        <w:rPr>
          <w:bCs/>
          <w:color w:val="000000"/>
          <w:lang w:eastAsia="lt-LT"/>
        </w:rPr>
        <w:t>Tyrimo metu reikšmingų saugumo problemų ar įvykių nenustatyta.</w:t>
      </w:r>
    </w:p>
    <w:p w14:paraId="1DC70A4A" w14:textId="77777777" w:rsidR="00E42A87" w:rsidRPr="00517B22" w:rsidRDefault="00E42A87" w:rsidP="00D361CE">
      <w:pPr>
        <w:widowControl w:val="0"/>
        <w:spacing w:line="276" w:lineRule="auto"/>
        <w:ind w:firstLine="720"/>
        <w:jc w:val="both"/>
        <w:rPr>
          <w:bCs/>
          <w:color w:val="000000"/>
          <w:lang w:eastAsia="lt-LT"/>
        </w:rPr>
      </w:pPr>
      <w:r w:rsidRPr="00517B22">
        <w:rPr>
          <w:bCs/>
          <w:color w:val="000000"/>
          <w:lang w:eastAsia="lt-LT"/>
        </w:rPr>
        <w:t xml:space="preserve">Apibendrinant pateiktus duomenis, FINEARTS-HF tyrimo duomenų pakanka įrodyti didesnę medikamentinio ŠN gydymo papildymo finerenonu naudą gydant pacientus, kuriems nustatyta ŠNiIF ir ŠNvsIF. Dėl šios priežasties fineronono (kartu su kitais ŠN gydymui naudojamais vaistiniais preparatais) palyginamasis veiksmingumas vertinamas kaip </w:t>
      </w:r>
      <w:r w:rsidRPr="00517B22">
        <w:rPr>
          <w:bCs/>
          <w:i/>
          <w:iCs/>
          <w:color w:val="000000"/>
          <w:lang w:eastAsia="lt-LT"/>
        </w:rPr>
        <w:t>didesnis</w:t>
      </w:r>
      <w:r w:rsidRPr="00517B22">
        <w:rPr>
          <w:bCs/>
          <w:color w:val="000000"/>
          <w:lang w:eastAsia="lt-LT"/>
        </w:rPr>
        <w:t>, palyginus su įprasta klinikine praktika.</w:t>
      </w:r>
    </w:p>
    <w:p w14:paraId="39C1ADA8" w14:textId="1DFA8FD3" w:rsidR="00AC5129" w:rsidRPr="00517B22" w:rsidRDefault="00AC5129" w:rsidP="00D361CE">
      <w:pPr>
        <w:pStyle w:val="Sraopastraipa"/>
        <w:tabs>
          <w:tab w:val="left" w:pos="426"/>
        </w:tabs>
        <w:spacing w:line="276" w:lineRule="auto"/>
        <w:ind w:left="0"/>
        <w:rPr>
          <w:b/>
          <w:bCs/>
          <w:caps/>
        </w:rPr>
      </w:pPr>
    </w:p>
    <w:p w14:paraId="7DE09EB5" w14:textId="69E9DD74" w:rsidR="00E03C3F" w:rsidRPr="00517B22" w:rsidRDefault="00CC7832" w:rsidP="00D361CE">
      <w:pPr>
        <w:pStyle w:val="Sraopastraipa"/>
        <w:numPr>
          <w:ilvl w:val="0"/>
          <w:numId w:val="12"/>
        </w:numPr>
        <w:tabs>
          <w:tab w:val="left" w:pos="567"/>
        </w:tabs>
        <w:spacing w:line="276" w:lineRule="auto"/>
        <w:ind w:hanging="720"/>
        <w:rPr>
          <w:b/>
          <w:bCs/>
          <w:caps/>
        </w:rPr>
      </w:pPr>
      <w:r w:rsidRPr="00517B22">
        <w:rPr>
          <w:b/>
          <w:bCs/>
          <w:caps/>
        </w:rPr>
        <w:t xml:space="preserve">ekonominio vertinimo </w:t>
      </w:r>
      <w:r w:rsidR="002F0E4F" w:rsidRPr="00517B22">
        <w:rPr>
          <w:b/>
          <w:bCs/>
          <w:caps/>
        </w:rPr>
        <w:t>apibendrinimas</w:t>
      </w:r>
    </w:p>
    <w:p w14:paraId="1A900598" w14:textId="4826E5DF" w:rsidR="00C62B36" w:rsidRPr="00517B22" w:rsidRDefault="00C62B36" w:rsidP="00D361CE">
      <w:pPr>
        <w:tabs>
          <w:tab w:val="left" w:pos="426"/>
        </w:tabs>
        <w:spacing w:line="276" w:lineRule="auto"/>
        <w:rPr>
          <w:i/>
          <w:color w:val="00B050"/>
        </w:rPr>
      </w:pPr>
    </w:p>
    <w:p w14:paraId="1635CCAA" w14:textId="3C04067C" w:rsidR="00252565" w:rsidRPr="00517B22" w:rsidRDefault="00252565" w:rsidP="00D361CE">
      <w:pPr>
        <w:spacing w:line="276" w:lineRule="auto"/>
        <w:jc w:val="both"/>
        <w:rPr>
          <w:rFonts w:eastAsia="Arial"/>
          <w:bCs/>
          <w:szCs w:val="22"/>
        </w:rPr>
      </w:pPr>
      <w:r w:rsidRPr="00517B22">
        <w:rPr>
          <w:rFonts w:eastAsia="Arial"/>
        </w:rPr>
        <w:t xml:space="preserve">Klinikinio vertinimo metu nustačius </w:t>
      </w:r>
      <w:r w:rsidRPr="00517B22">
        <w:rPr>
          <w:rFonts w:eastAsia="Arial"/>
          <w:i/>
          <w:iCs/>
        </w:rPr>
        <w:t xml:space="preserve">didesnį </w:t>
      </w:r>
      <w:r w:rsidRPr="00517B22">
        <w:rPr>
          <w:rFonts w:eastAsia="Arial"/>
        </w:rPr>
        <w:t>palyginamąjį veiksmingumą lyginant su įprasta klinikine praktika,</w:t>
      </w:r>
      <w:r w:rsidRPr="00517B22">
        <w:t xml:space="preserve"> atliekamas </w:t>
      </w:r>
      <w:r w:rsidRPr="00517B22">
        <w:rPr>
          <w:rFonts w:eastAsia="Arial"/>
          <w:bCs/>
          <w:szCs w:val="22"/>
        </w:rPr>
        <w:t xml:space="preserve">kaštų </w:t>
      </w:r>
      <w:r w:rsidRPr="00517B22">
        <w:rPr>
          <w:rFonts w:eastAsia="Arial"/>
          <w:i/>
          <w:iCs/>
          <w:szCs w:val="22"/>
        </w:rPr>
        <w:t>naudingumo</w:t>
      </w:r>
      <w:r w:rsidRPr="00517B22">
        <w:rPr>
          <w:rFonts w:eastAsia="Arial"/>
          <w:bCs/>
          <w:szCs w:val="22"/>
        </w:rPr>
        <w:t xml:space="preserve"> analizės vertinimas</w:t>
      </w:r>
      <w:r w:rsidRPr="00517B22">
        <w:t>. Tikslinė šios analizės populiac</w:t>
      </w:r>
      <w:r w:rsidR="00517B22">
        <w:t>ij</w:t>
      </w:r>
      <w:r w:rsidRPr="00517B22">
        <w:t xml:space="preserve">a atitinka FINEARTS-HF apibrėžtus įtraukimo kriterijus. Įtraukiami 40 metų ir vyresni pacientai, priskiriami NYHA II-IV klasėms, kurių KSIF yra 40 proc. ar daugiau. Laikoma, jog į </w:t>
      </w:r>
      <w:r w:rsidRPr="00517B22">
        <w:rPr>
          <w:lang w:eastAsia="lt-LT"/>
        </w:rPr>
        <w:t xml:space="preserve">ekonominę analizę įtraukti pacientai atitinka kompensacijai teikiamas terapines indikacijas. </w:t>
      </w:r>
      <w:r w:rsidRPr="00517B22">
        <w:t xml:space="preserve">Modeliuojamas intervencinis gydymas finerenonu yra vartojamas kaip pridėtinė terapija prie standartinio gydymo (SoC). </w:t>
      </w:r>
      <w:r w:rsidRPr="00517B22">
        <w:lastRenderedPageBreak/>
        <w:t xml:space="preserve">Finerenonas tiekiamas 10; 20 ir 40 mg dozuotėmis. Pradinė rekomenduojama doze priklauso nuo paciento eGFR įverčio, gali būti koreguojama pagal serumo kalio kiekį ir inkstų funkciją. </w:t>
      </w:r>
      <w:r w:rsidRPr="00517B22">
        <w:rPr>
          <w:rFonts w:eastAsia="Arial"/>
          <w:bCs/>
          <w:szCs w:val="22"/>
        </w:rPr>
        <w:t>Ekonominėje analizėje pateiktas palyginamasis gydymas atitinka įprastą Lietuvos Respublikos klinikinę praktiką.</w:t>
      </w:r>
    </w:p>
    <w:p w14:paraId="28F9511A" w14:textId="77777777" w:rsidR="00252565" w:rsidRPr="00517B22" w:rsidRDefault="00252565" w:rsidP="00D361CE">
      <w:pPr>
        <w:spacing w:line="276" w:lineRule="auto"/>
        <w:jc w:val="both"/>
      </w:pPr>
      <w:r w:rsidRPr="00517B22">
        <w:t>Dozavimas ir gydymo trukmė ekonominėje analizėje atitinka klinikiniuose įrodymuose pateiktą informaciją.</w:t>
      </w:r>
    </w:p>
    <w:p w14:paraId="7FA926E3" w14:textId="2E4A036B" w:rsidR="00252565" w:rsidRPr="00517B22" w:rsidRDefault="00252565" w:rsidP="00D361CE">
      <w:pPr>
        <w:spacing w:line="276" w:lineRule="auto"/>
        <w:jc w:val="both"/>
      </w:pPr>
      <w:r w:rsidRPr="00517B22">
        <w:t xml:space="preserve">Kaštai ir nauda diskontuoti pagal teisės aktuose nustatytus paraiškos rengimo taisyklių reikalavimus. Taikytas </w:t>
      </w:r>
      <w:r w:rsidR="009500CA">
        <w:rPr>
          <w:i/>
          <w:iCs/>
          <w:lang w:eastAsia="lt-LT"/>
        </w:rPr>
        <w:t>***</w:t>
      </w:r>
      <w:r w:rsidR="009500CA" w:rsidRPr="00517B22">
        <w:rPr>
          <w:i/>
          <w:iCs/>
          <w:lang w:eastAsia="lt-LT"/>
        </w:rPr>
        <w:t xml:space="preserve"> </w:t>
      </w:r>
      <w:r w:rsidRPr="00517B22">
        <w:t>% diskontavimas. Analizė atlikta iš PSDF biudžeto perspektyvos, įtraukti tiesiogiai su sveikatos sistema susiję kaštai. Tai atitinka teisės aktuose nustatytus paraiškos rengimo taisyklių reikalavimus.</w:t>
      </w:r>
    </w:p>
    <w:p w14:paraId="1745C781" w14:textId="1B969A8A" w:rsidR="00252565" w:rsidRPr="00517B22" w:rsidRDefault="00252565" w:rsidP="00D361CE">
      <w:pPr>
        <w:spacing w:line="276" w:lineRule="auto"/>
        <w:jc w:val="both"/>
        <w:rPr>
          <w:color w:val="000000"/>
          <w:lang w:eastAsia="lt-LT"/>
        </w:rPr>
      </w:pPr>
      <w:r w:rsidRPr="00517B22">
        <w:rPr>
          <w:color w:val="000000"/>
          <w:lang w:eastAsia="lt-LT"/>
        </w:rPr>
        <w:t>Analizėje taikoma 28 metų</w:t>
      </w:r>
      <w:r w:rsidRPr="00517B22">
        <w:rPr>
          <w:color w:val="00B050"/>
          <w:lang w:eastAsia="lt-LT"/>
        </w:rPr>
        <w:t xml:space="preserve"> </w:t>
      </w:r>
      <w:r w:rsidRPr="00517B22">
        <w:rPr>
          <w:color w:val="000000"/>
          <w:lang w:eastAsia="lt-LT"/>
        </w:rPr>
        <w:t xml:space="preserve">laiko perspektyva. Pasirinkta laiko perspektyva Tarnybos manymu, nėra tinkama. Atsižvelgiant į pradinį modeliuojamą pacientų amžių – 72 metus, 28 metų laiko perspektyvos taikymas gali būti laikomas viso gyvenimo laiko perspektyvos taikymu analizėje, tačiau taikant 28 metų laiko perspektyvą, palyginamojo gydymo grupėje yra sugeneruojama daugiau kokybiškų gyvenimo metų (QALY‘s) nei bendrosios (sveikos) populiacijos (kurios vidutinis amžius yra 72 metai, o moterų dalis – 45,5 proc.) – žiūrėti ligos naštos skaičiuoklę. Nagrinėjamos populiacijos SoC grupėje, Tarnybai skaičiuojant pagrindinio atvejo analizės rezultatą ir taikant 28 metų laiko perspektyvą, SoC grupėje sugeneruojami </w:t>
      </w:r>
      <w:r w:rsidR="009500CA">
        <w:rPr>
          <w:i/>
          <w:iCs/>
          <w:lang w:eastAsia="lt-LT"/>
        </w:rPr>
        <w:t>***</w:t>
      </w:r>
      <w:r w:rsidR="009500CA">
        <w:rPr>
          <w:i/>
          <w:iCs/>
          <w:lang w:eastAsia="lt-LT"/>
        </w:rPr>
        <w:t xml:space="preserve"> </w:t>
      </w:r>
      <w:r w:rsidRPr="00517B22">
        <w:rPr>
          <w:color w:val="000000"/>
          <w:lang w:eastAsia="lt-LT"/>
        </w:rPr>
        <w:t>QALY‘s, kai nagrinėjamos sveikos populiacijos didžiausias QALY‘s įvertis yra 10 metų. Dėl šios priežasties ir atsižvelgiant į Lietuvos pacientų mirtingumo duomenis, analizėje taikoma 10 metų laiko perspektyva. Tarnybos manymu, ši laiko perspektyva yra pakankama pacientų išgyvenamumui įvertinti, viso gyvenimo laiko perspektyvoje, sergant lėtine, Širdies nepakankamumo, liga. Trumpinant laiko perspektyvą, analizės rezultatas kinta reikšmingai, todėl tikėtina, jog analizėje yra pervertinamas pacientų išgyvenamumas. Tarnybos manymu, trumpinant laiko perspektyvą, pateikiamas konservatyvesnis analizės rezultatas.</w:t>
      </w:r>
    </w:p>
    <w:p w14:paraId="6B036F36" w14:textId="77777777" w:rsidR="00252565" w:rsidRPr="00517B22" w:rsidRDefault="00252565" w:rsidP="00D361CE">
      <w:pPr>
        <w:spacing w:line="276" w:lineRule="auto"/>
        <w:jc w:val="both"/>
        <w:rPr>
          <w:lang w:eastAsia="lt-LT"/>
        </w:rPr>
      </w:pPr>
      <w:r w:rsidRPr="00517B22">
        <w:t>Analizėje taikomas modeliavimas. Taikomas Markovo būklių perėjimo modelis su 28 dienų ciklo trukme. Modelyje sveikatos būklės skirstomos pagal Kanzaso miesto kardiomiopatijos klausimyno (KCCQ) įverčius. M</w:t>
      </w:r>
      <w:r w:rsidRPr="00517B22">
        <w:rPr>
          <w:lang w:eastAsia="lt-LT"/>
        </w:rPr>
        <w:t xml:space="preserve">odeliavimo tipas laikomas tinkamu analizės rezultato apskaičiavimui. </w:t>
      </w:r>
    </w:p>
    <w:p w14:paraId="7DCE522A" w14:textId="77777777" w:rsidR="00252565" w:rsidRPr="00517B22" w:rsidRDefault="00252565" w:rsidP="00D361CE">
      <w:pPr>
        <w:spacing w:line="276" w:lineRule="auto"/>
        <w:jc w:val="both"/>
      </w:pPr>
      <w:r w:rsidRPr="00517B22">
        <w:t xml:space="preserve">Klinikinės įvestys analizėje naudojamos iš FINEARTS-HF klinikinio tyrimo. Atitinkamai įvertintos būklių perėjimo tikimybės pagal FINEARTS-HF tyrime KCCQ įverčių pokytį nuo tyrimo pradžios. </w:t>
      </w:r>
    </w:p>
    <w:p w14:paraId="6F3316A8" w14:textId="7EEBCBAD" w:rsidR="00252565" w:rsidRPr="00517B22" w:rsidRDefault="00252565" w:rsidP="00D361CE">
      <w:pPr>
        <w:spacing w:line="276" w:lineRule="auto"/>
        <w:jc w:val="both"/>
      </w:pPr>
      <w:r w:rsidRPr="00517B22">
        <w:t>KV mirtingumas ir mirtingumas dėl bet kokių priežasčių analizėje buvo įvertinti naudojant parametrinius modelius. Tarnybai kyla dvejonių dėl mirtingumo dėl bet kokių priežasčių įvertinimo analizėje, nes taikant 28 metų laiko perspektyvą (modeliuojant iki 100 metų) Tarnybos pagrindinio atvejo analizėje, palyginamojo gydymo grupėje yra sugeneruojama daugiau nediskontuotų kokybiškų gyvenimo metų (QALY‘s) nei bendroje pacientų populiacijoje (</w:t>
      </w:r>
      <w:r w:rsidR="009500CA">
        <w:rPr>
          <w:i/>
          <w:iCs/>
          <w:lang w:eastAsia="lt-LT"/>
        </w:rPr>
        <w:t>***</w:t>
      </w:r>
      <w:r w:rsidR="009500CA" w:rsidRPr="00517B22">
        <w:rPr>
          <w:i/>
          <w:iCs/>
          <w:lang w:eastAsia="lt-LT"/>
        </w:rPr>
        <w:t xml:space="preserve"> </w:t>
      </w:r>
      <w:r w:rsidRPr="00517B22">
        <w:t xml:space="preserve">QALY‘s ir </w:t>
      </w:r>
      <w:r w:rsidR="009500CA">
        <w:rPr>
          <w:i/>
          <w:iCs/>
          <w:lang w:eastAsia="lt-LT"/>
        </w:rPr>
        <w:t>***</w:t>
      </w:r>
      <w:r w:rsidR="009500CA" w:rsidRPr="00517B22">
        <w:rPr>
          <w:i/>
          <w:iCs/>
          <w:lang w:eastAsia="lt-LT"/>
        </w:rPr>
        <w:t xml:space="preserve"> </w:t>
      </w:r>
      <w:r w:rsidRPr="00517B22">
        <w:t>QALY‘s). Dėl šios priežasties, Tarnyba pagrindinio atvejo analizėje trumpino laiko perspektyvą, šitaip siekdama suvaldyti neapibrėžtumą dėl sugeneruojamų QALY‘s skaičiaus ir pateikti konservatyvų analizės rezultatą.</w:t>
      </w:r>
    </w:p>
    <w:p w14:paraId="15F91F8C" w14:textId="797E96BE" w:rsidR="00252565" w:rsidRPr="00517B22" w:rsidRDefault="00252565" w:rsidP="00D361CE">
      <w:pPr>
        <w:spacing w:line="276" w:lineRule="auto"/>
        <w:jc w:val="both"/>
      </w:pPr>
      <w:r w:rsidRPr="00517B22">
        <w:t>Tarnybos manymu, HF įvykiai pagrindinio atvejo analizėje turi būti modeliuojami atskirai – pagal pirmą ir sekantį įvykį. Siekiant vienodumo su jau Tarnybos atliktais vertinimais panašioms indikacijoms, siekiant konservatyvesnio rezultato, Tarnybos pagrindinio atvejo analizėje, HF įvykiai yra modeliuojami atskirai paga</w:t>
      </w:r>
      <w:r w:rsidR="00517B22">
        <w:t>l</w:t>
      </w:r>
      <w:r w:rsidRPr="00517B22">
        <w:t xml:space="preserve"> pirmąjį ir sekantį įvykį. </w:t>
      </w:r>
    </w:p>
    <w:p w14:paraId="113C02B9" w14:textId="77777777" w:rsidR="00252565" w:rsidRPr="00517B22" w:rsidRDefault="00252565" w:rsidP="00D361CE">
      <w:pPr>
        <w:spacing w:line="276" w:lineRule="auto"/>
        <w:jc w:val="both"/>
        <w:rPr>
          <w:lang w:eastAsia="lt-LT"/>
        </w:rPr>
      </w:pPr>
      <w:r w:rsidRPr="00517B22">
        <w:rPr>
          <w:lang w:eastAsia="lt-LT"/>
        </w:rPr>
        <w:t>Tarnyba pagrindinio atvejo analizėje vertinant mirtingumą, taiko sveikatos būklę, kaip kintamąjį, o ne paciento gaunamą gydymą, siekiant mirtingumą įvertinti pagal paciento būklę, pacientams gaunant skirtingą gydymą.</w:t>
      </w:r>
    </w:p>
    <w:p w14:paraId="464123E9" w14:textId="77777777" w:rsidR="00252565" w:rsidRPr="00517B22" w:rsidRDefault="00252565" w:rsidP="00D361CE">
      <w:pPr>
        <w:spacing w:line="276" w:lineRule="auto"/>
        <w:jc w:val="both"/>
      </w:pPr>
      <w:r w:rsidRPr="00517B22">
        <w:lastRenderedPageBreak/>
        <w:t>Į Pareiškėjo modelį įtraukta gydymo finerenonu nutraukimo galimybė. Tarnyba, siekdama konservatyvaus analizės rezultato ir vienodumo su jau atliktais vertinimais panašiai indikacijai, taiko, jog gydymo nutraukimo tikimybė yra 0 proc., tai šiek tiek padidina ICER įvertį.</w:t>
      </w:r>
    </w:p>
    <w:p w14:paraId="4C0B7E08" w14:textId="77777777" w:rsidR="00252565" w:rsidRPr="00517B22" w:rsidRDefault="00252565" w:rsidP="00D361CE">
      <w:pPr>
        <w:spacing w:line="276" w:lineRule="auto"/>
        <w:jc w:val="both"/>
        <w:rPr>
          <w:lang w:eastAsia="lt-LT"/>
        </w:rPr>
      </w:pPr>
      <w:r w:rsidRPr="00517B22">
        <w:t xml:space="preserve">FINEARTS-HF tyrime buvo renkami gyvenimo kokybės duomenys, taikant EQ-5D-5L įverčius. Naudojant EQ-5D duomenis iš FINEARTS-HF, buvo sugeneruoti gyvenimo kokybės įverčiai, naudojant Hernández 2022 algoritmą, kuris konvertuoja EQ-5D-5L duomenis į 3L. Pacientų lygio EQ-5D-5L duomenims buvo pritaikyta regresinė analizė, siekiant prognozuoti sveikatos būklių gyvenimo kokybės įverčius, pagal KCCQ vertes. </w:t>
      </w:r>
      <w:r w:rsidRPr="00517B22">
        <w:rPr>
          <w:lang w:eastAsia="lt-LT"/>
        </w:rPr>
        <w:t>Vertinimui pateikta gyvenimo kokybės įverčių alternatyvų, tai leidžia įvertinti analizėje taikomus gyvenimo kokybės įverčius. Taip pat, patiektus įverčius lyginant su kitų pareiškėjų pateiktomis paraiškomis tai pačiai indikacijai, laikoma, jog pateikti įverčiai pagrindinio atvejo analizėje yra panašūs su kitų pareiškėjų teikta informacija.</w:t>
      </w:r>
    </w:p>
    <w:p w14:paraId="6FEED152" w14:textId="77777777" w:rsidR="00252565" w:rsidRPr="00517B22" w:rsidRDefault="00252565" w:rsidP="00D361CE">
      <w:pPr>
        <w:spacing w:line="276" w:lineRule="auto"/>
        <w:jc w:val="both"/>
        <w:rPr>
          <w:lang w:eastAsia="lt-LT"/>
        </w:rPr>
      </w:pPr>
      <w:r w:rsidRPr="00517B22">
        <w:t>Asmens sveikatos priežiūros paslaugų poreikis modelyje vertinamas Pareiškėjo pagal CPRD (</w:t>
      </w:r>
      <w:r w:rsidRPr="00517B22">
        <w:rPr>
          <w:i/>
          <w:iCs/>
        </w:rPr>
        <w:t>Clinical Practice Research Datalink</w:t>
      </w:r>
      <w:r w:rsidRPr="00517B22">
        <w:t xml:space="preserve">) studiją, aprašyta McMurray et al.,2018. Pareiškėjas teigė, jog nėra duomenų apie Lietuvos klinikinę situaciją ir asmens sveikatos priežiūros paslaugų poreikį, todėl buvo pasirinktas CPRD šaltinis. </w:t>
      </w:r>
      <w:r w:rsidRPr="00517B22">
        <w:rPr>
          <w:lang w:eastAsia="lt-LT"/>
        </w:rPr>
        <w:t>Tarnybai nėra aišku, ar analizėje įvertintas asmens sveikatos priežiūros paslaugų poreikis atitinka Lietuvos praktiką, tačiau atsižvelgiant į tai, jog paslaugų kaštai yra įvertinti pagal Lietuvoje taikomus įkainius, laikoma, jog rezultatas, apskaičiuotas su Pareiškėjo nurodytu ASPP poreikiu, gali būti interpretuojamas.</w:t>
      </w:r>
    </w:p>
    <w:p w14:paraId="62CC730F" w14:textId="77777777" w:rsidR="00252565" w:rsidRPr="00517B22" w:rsidRDefault="00252565" w:rsidP="00D361CE">
      <w:pPr>
        <w:tabs>
          <w:tab w:val="left" w:pos="426"/>
        </w:tabs>
        <w:spacing w:line="276" w:lineRule="auto"/>
        <w:rPr>
          <w:b/>
          <w:bCs/>
          <w:caps/>
        </w:rPr>
      </w:pPr>
    </w:p>
    <w:p w14:paraId="174D84D7" w14:textId="09C7BC2B" w:rsidR="0035172D" w:rsidRPr="00517B22" w:rsidRDefault="00164D64" w:rsidP="00A93AA6">
      <w:pPr>
        <w:tabs>
          <w:tab w:val="left" w:pos="426"/>
        </w:tabs>
        <w:rPr>
          <w:b/>
          <w:lang w:eastAsia="lt-LT"/>
        </w:rPr>
      </w:pPr>
      <w:r w:rsidRPr="00517B22">
        <w:rPr>
          <w:b/>
          <w:lang w:eastAsia="lt-LT"/>
        </w:rPr>
        <w:t xml:space="preserve">3.1 </w:t>
      </w:r>
      <w:r w:rsidR="0035172D" w:rsidRPr="00517B22">
        <w:rPr>
          <w:b/>
          <w:lang w:eastAsia="lt-LT"/>
        </w:rPr>
        <w:t>Ekonominės analizės rezultatas</w:t>
      </w:r>
    </w:p>
    <w:p w14:paraId="4801D227" w14:textId="77777777" w:rsidR="009E44AE" w:rsidRPr="00517B22" w:rsidRDefault="009E44AE" w:rsidP="00A93AA6">
      <w:pPr>
        <w:tabs>
          <w:tab w:val="left" w:pos="426"/>
        </w:tabs>
        <w:rPr>
          <w:b/>
          <w:lang w:eastAsia="lt-LT"/>
        </w:rPr>
      </w:pPr>
    </w:p>
    <w:tbl>
      <w:tblPr>
        <w:tblStyle w:val="Lentelstinklelis1"/>
        <w:tblW w:w="9439"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200"/>
        <w:gridCol w:w="3239"/>
      </w:tblGrid>
      <w:tr w:rsidR="000203E1" w:rsidRPr="00517B22" w14:paraId="42D6C843" w14:textId="77777777" w:rsidTr="00BE7489">
        <w:trPr>
          <w:trHeight w:val="344"/>
          <w:jc w:val="center"/>
        </w:trPr>
        <w:tc>
          <w:tcPr>
            <w:tcW w:w="9439" w:type="dxa"/>
            <w:gridSpan w:val="2"/>
            <w:tcBorders>
              <w:top w:val="single" w:sz="12" w:space="0" w:color="auto"/>
              <w:left w:val="single" w:sz="4" w:space="0" w:color="auto"/>
              <w:right w:val="single" w:sz="4" w:space="0" w:color="auto"/>
            </w:tcBorders>
            <w:vAlign w:val="center"/>
          </w:tcPr>
          <w:p w14:paraId="39FD3B40" w14:textId="77777777" w:rsidR="009E44AE" w:rsidRPr="00517B22" w:rsidRDefault="009E44AE" w:rsidP="009E44AE">
            <w:pPr>
              <w:tabs>
                <w:tab w:val="left" w:pos="567"/>
              </w:tabs>
              <w:jc w:val="center"/>
              <w:rPr>
                <w:b/>
                <w:bCs/>
                <w:sz w:val="26"/>
                <w:szCs w:val="26"/>
                <w:lang w:eastAsia="lt-LT"/>
              </w:rPr>
            </w:pPr>
            <w:r w:rsidRPr="00517B22">
              <w:rPr>
                <w:b/>
                <w:bCs/>
                <w:sz w:val="26"/>
                <w:szCs w:val="26"/>
                <w:lang w:eastAsia="lt-LT"/>
              </w:rPr>
              <w:t>Rezultatai</w:t>
            </w:r>
          </w:p>
        </w:tc>
      </w:tr>
      <w:tr w:rsidR="000203E1" w:rsidRPr="00517B22" w14:paraId="319AF392" w14:textId="77777777" w:rsidTr="00BE7489">
        <w:trPr>
          <w:trHeight w:val="267"/>
          <w:jc w:val="center"/>
        </w:trPr>
        <w:tc>
          <w:tcPr>
            <w:tcW w:w="6200" w:type="dxa"/>
            <w:tcBorders>
              <w:left w:val="single" w:sz="4" w:space="0" w:color="auto"/>
            </w:tcBorders>
          </w:tcPr>
          <w:p w14:paraId="44CD8D27" w14:textId="27245A0B" w:rsidR="00BA5DBC" w:rsidRPr="00517B22" w:rsidRDefault="00BA5DBC" w:rsidP="00BA5DBC">
            <w:pPr>
              <w:tabs>
                <w:tab w:val="left" w:pos="567"/>
              </w:tabs>
              <w:jc w:val="right"/>
              <w:rPr>
                <w:iCs/>
                <w:lang w:eastAsia="lt-LT"/>
              </w:rPr>
            </w:pPr>
            <w:r w:rsidRPr="00517B22">
              <w:rPr>
                <w:iCs/>
                <w:lang w:eastAsia="lt-LT"/>
              </w:rPr>
              <w:t>Kaštų skirtumas</w:t>
            </w:r>
          </w:p>
        </w:tc>
        <w:tc>
          <w:tcPr>
            <w:tcW w:w="3238" w:type="dxa"/>
            <w:tcBorders>
              <w:right w:val="single" w:sz="4" w:space="0" w:color="auto"/>
            </w:tcBorders>
          </w:tcPr>
          <w:p w14:paraId="1CACF0B4" w14:textId="12FD5A5F" w:rsidR="00BA5DBC" w:rsidRPr="00517B22" w:rsidRDefault="009500CA" w:rsidP="00BA5DBC">
            <w:pPr>
              <w:tabs>
                <w:tab w:val="left" w:pos="567"/>
              </w:tabs>
              <w:jc w:val="both"/>
              <w:rPr>
                <w:i/>
                <w:iCs/>
                <w:lang w:eastAsia="lt-LT"/>
              </w:rPr>
            </w:pPr>
            <w:r>
              <w:rPr>
                <w:i/>
                <w:iCs/>
                <w:lang w:eastAsia="lt-LT"/>
              </w:rPr>
              <w:t>***</w:t>
            </w:r>
            <w:r w:rsidRPr="00517B22">
              <w:rPr>
                <w:i/>
                <w:iCs/>
                <w:lang w:eastAsia="lt-LT"/>
              </w:rPr>
              <w:t xml:space="preserve"> </w:t>
            </w:r>
            <w:r w:rsidR="00252565" w:rsidRPr="00517B22">
              <w:rPr>
                <w:i/>
                <w:iCs/>
                <w:lang w:eastAsia="lt-LT"/>
              </w:rPr>
              <w:t>eur</w:t>
            </w:r>
          </w:p>
        </w:tc>
      </w:tr>
      <w:tr w:rsidR="000203E1" w:rsidRPr="00517B22" w14:paraId="49F818A3" w14:textId="77777777" w:rsidTr="00BE7489">
        <w:trPr>
          <w:trHeight w:val="267"/>
          <w:jc w:val="center"/>
        </w:trPr>
        <w:tc>
          <w:tcPr>
            <w:tcW w:w="6200" w:type="dxa"/>
            <w:tcBorders>
              <w:left w:val="single" w:sz="4" w:space="0" w:color="auto"/>
            </w:tcBorders>
          </w:tcPr>
          <w:p w14:paraId="021DB925" w14:textId="389F1BF5" w:rsidR="00BA5DBC" w:rsidRPr="00517B22" w:rsidRDefault="00BA5DBC" w:rsidP="00BA5DBC">
            <w:pPr>
              <w:tabs>
                <w:tab w:val="left" w:pos="567"/>
              </w:tabs>
              <w:jc w:val="right"/>
              <w:rPr>
                <w:iCs/>
                <w:lang w:eastAsia="lt-LT"/>
              </w:rPr>
            </w:pPr>
            <w:r w:rsidRPr="00517B22">
              <w:rPr>
                <w:iCs/>
                <w:lang w:eastAsia="lt-LT"/>
              </w:rPr>
              <w:t>Papildomi gyvenimo metai (LY)</w:t>
            </w:r>
          </w:p>
        </w:tc>
        <w:tc>
          <w:tcPr>
            <w:tcW w:w="3238" w:type="dxa"/>
            <w:tcBorders>
              <w:right w:val="single" w:sz="4" w:space="0" w:color="auto"/>
            </w:tcBorders>
          </w:tcPr>
          <w:p w14:paraId="4954817B" w14:textId="1014FE97" w:rsidR="00BA5DBC" w:rsidRPr="00517B22" w:rsidRDefault="009500CA" w:rsidP="00BA5DBC">
            <w:pPr>
              <w:tabs>
                <w:tab w:val="left" w:pos="567"/>
              </w:tabs>
              <w:jc w:val="both"/>
              <w:rPr>
                <w:i/>
                <w:iCs/>
                <w:lang w:eastAsia="lt-LT"/>
              </w:rPr>
            </w:pPr>
            <w:r>
              <w:rPr>
                <w:i/>
                <w:iCs/>
                <w:lang w:eastAsia="lt-LT"/>
              </w:rPr>
              <w:t>***</w:t>
            </w:r>
            <w:r w:rsidRPr="00517B22">
              <w:rPr>
                <w:i/>
                <w:iCs/>
                <w:lang w:eastAsia="lt-LT"/>
              </w:rPr>
              <w:t xml:space="preserve"> </w:t>
            </w:r>
            <w:r w:rsidR="00252565" w:rsidRPr="00517B22">
              <w:rPr>
                <w:i/>
                <w:iCs/>
                <w:lang w:eastAsia="lt-LT"/>
              </w:rPr>
              <w:t>LY</w:t>
            </w:r>
          </w:p>
        </w:tc>
      </w:tr>
      <w:tr w:rsidR="000203E1" w:rsidRPr="00517B22" w14:paraId="20ADA742" w14:textId="77777777" w:rsidTr="00BE7489">
        <w:trPr>
          <w:trHeight w:val="267"/>
          <w:jc w:val="center"/>
        </w:trPr>
        <w:tc>
          <w:tcPr>
            <w:tcW w:w="6200" w:type="dxa"/>
            <w:tcBorders>
              <w:left w:val="single" w:sz="4" w:space="0" w:color="auto"/>
            </w:tcBorders>
          </w:tcPr>
          <w:p w14:paraId="0F567576" w14:textId="2606A2E9" w:rsidR="00BA5DBC" w:rsidRPr="00517B22" w:rsidRDefault="0058712F" w:rsidP="00BA5DBC">
            <w:pPr>
              <w:tabs>
                <w:tab w:val="left" w:pos="567"/>
              </w:tabs>
              <w:jc w:val="right"/>
              <w:rPr>
                <w:iCs/>
                <w:lang w:eastAsia="lt-LT"/>
              </w:rPr>
            </w:pPr>
            <w:r w:rsidRPr="00517B22">
              <w:rPr>
                <w:iCs/>
                <w:lang w:eastAsia="lt-LT"/>
              </w:rPr>
              <w:t>Papildomi k</w:t>
            </w:r>
            <w:r w:rsidR="00BA5DBC" w:rsidRPr="00517B22">
              <w:rPr>
                <w:iCs/>
                <w:lang w:eastAsia="lt-LT"/>
              </w:rPr>
              <w:t>okybiški gyvenimo metai (QALY)</w:t>
            </w:r>
          </w:p>
        </w:tc>
        <w:tc>
          <w:tcPr>
            <w:tcW w:w="3238" w:type="dxa"/>
            <w:tcBorders>
              <w:right w:val="single" w:sz="4" w:space="0" w:color="auto"/>
            </w:tcBorders>
          </w:tcPr>
          <w:p w14:paraId="02E4DAE1" w14:textId="27006FE1" w:rsidR="00BA5DBC" w:rsidRPr="00517B22" w:rsidRDefault="009500CA" w:rsidP="00BA5DBC">
            <w:pPr>
              <w:tabs>
                <w:tab w:val="left" w:pos="567"/>
              </w:tabs>
              <w:jc w:val="both"/>
              <w:rPr>
                <w:i/>
                <w:iCs/>
                <w:lang w:eastAsia="lt-LT"/>
              </w:rPr>
            </w:pPr>
            <w:r>
              <w:rPr>
                <w:i/>
                <w:iCs/>
                <w:lang w:eastAsia="lt-LT"/>
              </w:rPr>
              <w:t>***</w:t>
            </w:r>
            <w:r w:rsidR="00252565" w:rsidRPr="00517B22">
              <w:rPr>
                <w:i/>
                <w:iCs/>
                <w:lang w:eastAsia="lt-LT"/>
              </w:rPr>
              <w:t xml:space="preserve"> QALY</w:t>
            </w:r>
          </w:p>
        </w:tc>
      </w:tr>
      <w:tr w:rsidR="000203E1" w:rsidRPr="00517B22" w14:paraId="1FADA2B3" w14:textId="77777777" w:rsidTr="00BE7489">
        <w:trPr>
          <w:trHeight w:val="267"/>
          <w:jc w:val="center"/>
        </w:trPr>
        <w:tc>
          <w:tcPr>
            <w:tcW w:w="6200" w:type="dxa"/>
            <w:tcBorders>
              <w:left w:val="single" w:sz="4" w:space="0" w:color="auto"/>
            </w:tcBorders>
          </w:tcPr>
          <w:p w14:paraId="13E089E8" w14:textId="0BCEB339" w:rsidR="00BA5DBC" w:rsidRPr="00517B22" w:rsidRDefault="00BA5DBC" w:rsidP="009E44AE">
            <w:pPr>
              <w:tabs>
                <w:tab w:val="left" w:pos="567"/>
              </w:tabs>
              <w:jc w:val="right"/>
              <w:rPr>
                <w:iCs/>
                <w:lang w:eastAsia="lt-LT"/>
              </w:rPr>
            </w:pPr>
            <w:r w:rsidRPr="00517B22">
              <w:rPr>
                <w:iCs/>
                <w:lang w:eastAsia="lt-LT"/>
              </w:rPr>
              <w:t>ICER už LY</w:t>
            </w:r>
          </w:p>
        </w:tc>
        <w:tc>
          <w:tcPr>
            <w:tcW w:w="3238" w:type="dxa"/>
            <w:tcBorders>
              <w:right w:val="single" w:sz="4" w:space="0" w:color="auto"/>
            </w:tcBorders>
          </w:tcPr>
          <w:p w14:paraId="2817448D" w14:textId="59B0064C" w:rsidR="00BA5DBC" w:rsidRPr="00517B22" w:rsidRDefault="009500CA" w:rsidP="009E44AE">
            <w:pPr>
              <w:tabs>
                <w:tab w:val="left" w:pos="567"/>
              </w:tabs>
              <w:jc w:val="both"/>
              <w:rPr>
                <w:i/>
                <w:iCs/>
                <w:lang w:eastAsia="lt-LT"/>
              </w:rPr>
            </w:pPr>
            <w:r>
              <w:rPr>
                <w:i/>
                <w:iCs/>
                <w:lang w:eastAsia="lt-LT"/>
              </w:rPr>
              <w:t>***</w:t>
            </w:r>
            <w:r w:rsidRPr="00517B22">
              <w:rPr>
                <w:i/>
                <w:iCs/>
                <w:lang w:eastAsia="lt-LT"/>
              </w:rPr>
              <w:t xml:space="preserve"> </w:t>
            </w:r>
            <w:r w:rsidR="00252565" w:rsidRPr="00517B22">
              <w:rPr>
                <w:i/>
                <w:iCs/>
                <w:lang w:eastAsia="lt-LT"/>
              </w:rPr>
              <w:t>eur/LY</w:t>
            </w:r>
          </w:p>
        </w:tc>
      </w:tr>
      <w:tr w:rsidR="000203E1" w:rsidRPr="00517B22" w14:paraId="250DE960" w14:textId="77777777" w:rsidTr="00BE7489">
        <w:trPr>
          <w:trHeight w:val="267"/>
          <w:jc w:val="center"/>
        </w:trPr>
        <w:tc>
          <w:tcPr>
            <w:tcW w:w="6200" w:type="dxa"/>
            <w:tcBorders>
              <w:left w:val="single" w:sz="4" w:space="0" w:color="auto"/>
            </w:tcBorders>
          </w:tcPr>
          <w:p w14:paraId="207EFB23" w14:textId="77777777" w:rsidR="009E44AE" w:rsidRPr="00517B22" w:rsidRDefault="009E44AE" w:rsidP="009E44AE">
            <w:pPr>
              <w:tabs>
                <w:tab w:val="left" w:pos="567"/>
              </w:tabs>
              <w:jc w:val="right"/>
              <w:rPr>
                <w:iCs/>
                <w:lang w:eastAsia="lt-LT"/>
              </w:rPr>
            </w:pPr>
            <w:r w:rsidRPr="00517B22">
              <w:rPr>
                <w:iCs/>
                <w:lang w:eastAsia="lt-LT"/>
              </w:rPr>
              <w:t>ICER už QALY</w:t>
            </w:r>
          </w:p>
        </w:tc>
        <w:tc>
          <w:tcPr>
            <w:tcW w:w="3238" w:type="dxa"/>
            <w:tcBorders>
              <w:right w:val="single" w:sz="4" w:space="0" w:color="auto"/>
            </w:tcBorders>
          </w:tcPr>
          <w:p w14:paraId="4275320D" w14:textId="66A8406B" w:rsidR="009E44AE" w:rsidRPr="00517B22" w:rsidRDefault="009500CA" w:rsidP="009E44AE">
            <w:pPr>
              <w:tabs>
                <w:tab w:val="left" w:pos="567"/>
              </w:tabs>
              <w:jc w:val="both"/>
              <w:rPr>
                <w:i/>
                <w:iCs/>
                <w:lang w:eastAsia="lt-LT"/>
              </w:rPr>
            </w:pPr>
            <w:r>
              <w:rPr>
                <w:i/>
                <w:iCs/>
                <w:lang w:eastAsia="lt-LT"/>
              </w:rPr>
              <w:t>***</w:t>
            </w:r>
            <w:r w:rsidRPr="00517B22">
              <w:rPr>
                <w:i/>
                <w:iCs/>
                <w:lang w:eastAsia="lt-LT"/>
              </w:rPr>
              <w:t xml:space="preserve"> </w:t>
            </w:r>
            <w:r w:rsidR="00252565" w:rsidRPr="00517B22">
              <w:rPr>
                <w:i/>
                <w:iCs/>
                <w:lang w:eastAsia="lt-LT"/>
              </w:rPr>
              <w:t>eur/QALY</w:t>
            </w:r>
          </w:p>
        </w:tc>
      </w:tr>
      <w:tr w:rsidR="000203E1" w:rsidRPr="00517B22" w14:paraId="2C4C68BA" w14:textId="77777777" w:rsidTr="00BE7489">
        <w:trPr>
          <w:trHeight w:val="267"/>
          <w:jc w:val="center"/>
        </w:trPr>
        <w:tc>
          <w:tcPr>
            <w:tcW w:w="6200" w:type="dxa"/>
            <w:tcBorders>
              <w:left w:val="single" w:sz="4" w:space="0" w:color="auto"/>
              <w:bottom w:val="single" w:sz="4" w:space="0" w:color="auto"/>
              <w:right w:val="single" w:sz="4" w:space="0" w:color="auto"/>
            </w:tcBorders>
          </w:tcPr>
          <w:p w14:paraId="21BEDABF" w14:textId="3471AFB3" w:rsidR="009E44AE" w:rsidRPr="00517B22" w:rsidRDefault="00437623" w:rsidP="009E44AE">
            <w:pPr>
              <w:tabs>
                <w:tab w:val="left" w:pos="567"/>
              </w:tabs>
              <w:jc w:val="right"/>
              <w:rPr>
                <w:iCs/>
                <w:lang w:eastAsia="lt-LT"/>
              </w:rPr>
            </w:pPr>
            <w:r w:rsidRPr="00517B22">
              <w:rPr>
                <w:iCs/>
                <w:lang w:eastAsia="lt-LT"/>
              </w:rPr>
              <w:t>Referenc</w:t>
            </w:r>
            <w:r w:rsidR="009E44AE" w:rsidRPr="00517B22">
              <w:rPr>
                <w:iCs/>
                <w:lang w:eastAsia="lt-LT"/>
              </w:rPr>
              <w:t>inė kaštų naudingumo vertė</w:t>
            </w:r>
          </w:p>
        </w:tc>
        <w:tc>
          <w:tcPr>
            <w:tcW w:w="3238" w:type="dxa"/>
            <w:tcBorders>
              <w:left w:val="single" w:sz="4" w:space="0" w:color="auto"/>
              <w:bottom w:val="single" w:sz="4" w:space="0" w:color="auto"/>
              <w:right w:val="single" w:sz="4" w:space="0" w:color="auto"/>
            </w:tcBorders>
          </w:tcPr>
          <w:p w14:paraId="31DAA72E" w14:textId="55494FB4" w:rsidR="009E44AE" w:rsidRPr="00517B22" w:rsidRDefault="009500CA" w:rsidP="009E44AE">
            <w:pPr>
              <w:tabs>
                <w:tab w:val="left" w:pos="567"/>
              </w:tabs>
              <w:jc w:val="both"/>
              <w:rPr>
                <w:i/>
                <w:iCs/>
                <w:lang w:eastAsia="lt-LT"/>
              </w:rPr>
            </w:pPr>
            <w:r>
              <w:rPr>
                <w:i/>
                <w:iCs/>
                <w:lang w:eastAsia="lt-LT"/>
              </w:rPr>
              <w:t>***</w:t>
            </w:r>
            <w:r w:rsidRPr="00517B22">
              <w:rPr>
                <w:i/>
                <w:iCs/>
                <w:lang w:eastAsia="lt-LT"/>
              </w:rPr>
              <w:t xml:space="preserve"> </w:t>
            </w:r>
            <w:r w:rsidR="00252565" w:rsidRPr="00517B22">
              <w:rPr>
                <w:i/>
                <w:iCs/>
                <w:lang w:eastAsia="lt-LT"/>
              </w:rPr>
              <w:t>eur/QALY</w:t>
            </w:r>
          </w:p>
        </w:tc>
      </w:tr>
    </w:tbl>
    <w:p w14:paraId="5FC8C737" w14:textId="4136B7F4" w:rsidR="0035172D" w:rsidRPr="00517B22" w:rsidRDefault="00E5102E" w:rsidP="0035172D">
      <w:pPr>
        <w:tabs>
          <w:tab w:val="left" w:pos="567"/>
        </w:tabs>
        <w:jc w:val="both"/>
        <w:rPr>
          <w:iCs/>
          <w:sz w:val="20"/>
          <w:lang w:eastAsia="lt-LT"/>
        </w:rPr>
      </w:pPr>
      <w:r w:rsidRPr="00517B22">
        <w:rPr>
          <w:iCs/>
          <w:sz w:val="20"/>
          <w:lang w:eastAsia="lt-LT"/>
        </w:rPr>
        <w:t xml:space="preserve">ICER </w:t>
      </w:r>
      <w:r w:rsidR="00453862" w:rsidRPr="00517B22">
        <w:rPr>
          <w:iCs/>
          <w:sz w:val="20"/>
          <w:lang w:eastAsia="lt-LT"/>
        </w:rPr>
        <w:t>– (</w:t>
      </w:r>
      <w:r w:rsidR="00453862" w:rsidRPr="00517B22">
        <w:rPr>
          <w:i/>
          <w:sz w:val="20"/>
          <w:lang w:eastAsia="lt-LT"/>
        </w:rPr>
        <w:t>angl. incremental cost-effectiveness ratio</w:t>
      </w:r>
      <w:r w:rsidR="00453862" w:rsidRPr="00517B22">
        <w:rPr>
          <w:iCs/>
          <w:sz w:val="20"/>
          <w:lang w:eastAsia="lt-LT"/>
        </w:rPr>
        <w:t>) inkrementinis kaštų naudingumo koeficientas</w:t>
      </w:r>
      <w:r w:rsidRPr="00517B22">
        <w:rPr>
          <w:iCs/>
          <w:sz w:val="20"/>
          <w:lang w:eastAsia="lt-LT"/>
        </w:rPr>
        <w:t>; LY –</w:t>
      </w:r>
      <w:r w:rsidR="00453862" w:rsidRPr="00517B22">
        <w:rPr>
          <w:iCs/>
          <w:sz w:val="20"/>
          <w:lang w:eastAsia="lt-LT"/>
        </w:rPr>
        <w:t xml:space="preserve"> (</w:t>
      </w:r>
      <w:r w:rsidR="00453862" w:rsidRPr="00517B22">
        <w:rPr>
          <w:i/>
          <w:sz w:val="20"/>
          <w:lang w:eastAsia="lt-LT"/>
        </w:rPr>
        <w:t>angl. life years</w:t>
      </w:r>
      <w:r w:rsidR="00453862" w:rsidRPr="00517B22">
        <w:rPr>
          <w:iCs/>
          <w:sz w:val="20"/>
          <w:lang w:eastAsia="lt-LT"/>
        </w:rPr>
        <w:t>) gyvenimo metai</w:t>
      </w:r>
      <w:r w:rsidRPr="00517B22">
        <w:rPr>
          <w:iCs/>
          <w:sz w:val="20"/>
          <w:lang w:eastAsia="lt-LT"/>
        </w:rPr>
        <w:t xml:space="preserve">; QALY- </w:t>
      </w:r>
      <w:r w:rsidR="00453862" w:rsidRPr="00517B22">
        <w:rPr>
          <w:iCs/>
          <w:sz w:val="20"/>
          <w:lang w:eastAsia="lt-LT"/>
        </w:rPr>
        <w:t>(</w:t>
      </w:r>
      <w:r w:rsidR="00453862" w:rsidRPr="00517B22">
        <w:rPr>
          <w:i/>
          <w:sz w:val="20"/>
          <w:lang w:eastAsia="lt-LT"/>
        </w:rPr>
        <w:t xml:space="preserve">angl. quality adjusted life years) </w:t>
      </w:r>
      <w:r w:rsidR="00453862" w:rsidRPr="00517B22">
        <w:rPr>
          <w:iCs/>
          <w:sz w:val="20"/>
          <w:lang w:eastAsia="lt-LT"/>
        </w:rPr>
        <w:t>kokybiški gyvenimo metai.</w:t>
      </w:r>
    </w:p>
    <w:p w14:paraId="33875138" w14:textId="77777777" w:rsidR="0035172D" w:rsidRPr="00517B22" w:rsidRDefault="0035172D" w:rsidP="00A93AA6">
      <w:pPr>
        <w:tabs>
          <w:tab w:val="left" w:pos="426"/>
        </w:tabs>
        <w:rPr>
          <w:b/>
          <w:bCs/>
          <w:caps/>
        </w:rPr>
      </w:pPr>
    </w:p>
    <w:p w14:paraId="35D1CB36" w14:textId="79DC2C8E" w:rsidR="00252565" w:rsidRPr="00517B22" w:rsidRDefault="00252565" w:rsidP="00252565">
      <w:pPr>
        <w:spacing w:line="280" w:lineRule="atLeast"/>
        <w:jc w:val="both"/>
        <w:rPr>
          <w:rFonts w:eastAsia="Arial"/>
        </w:rPr>
      </w:pPr>
      <w:r w:rsidRPr="00517B22">
        <w:rPr>
          <w:rFonts w:eastAsia="Arial"/>
        </w:rPr>
        <w:t>Laikant, jog ligos našta yra lengva, laikoma, jog fin</w:t>
      </w:r>
      <w:r w:rsidR="00517B22">
        <w:rPr>
          <w:rFonts w:eastAsia="Arial"/>
        </w:rPr>
        <w:t>e</w:t>
      </w:r>
      <w:r w:rsidRPr="00517B22">
        <w:rPr>
          <w:rFonts w:eastAsia="Arial"/>
        </w:rPr>
        <w:t xml:space="preserve">renonas nėra kaštams naudingas. Reikalinga papildoma bent </w:t>
      </w:r>
      <w:r w:rsidR="009500CA">
        <w:rPr>
          <w:rFonts w:eastAsia="Arial"/>
        </w:rPr>
        <w:t>***</w:t>
      </w:r>
      <w:r w:rsidRPr="00517B22">
        <w:rPr>
          <w:rFonts w:eastAsia="Arial"/>
        </w:rPr>
        <w:t xml:space="preserve"> proc. nuolaida, kad vaistinis preparatas finerenonas (</w:t>
      </w:r>
      <w:r w:rsidR="00517B22">
        <w:rPr>
          <w:rFonts w:eastAsia="Arial"/>
        </w:rPr>
        <w:t>K</w:t>
      </w:r>
      <w:r w:rsidRPr="00517B22">
        <w:rPr>
          <w:rFonts w:eastAsia="Arial"/>
        </w:rPr>
        <w:t>erendia) būtų kaštams naudingas.</w:t>
      </w:r>
    </w:p>
    <w:p w14:paraId="1BC37E52" w14:textId="77777777" w:rsidR="00252565" w:rsidRPr="00517B22" w:rsidRDefault="00252565" w:rsidP="00A93AA6">
      <w:pPr>
        <w:tabs>
          <w:tab w:val="left" w:pos="426"/>
        </w:tabs>
        <w:rPr>
          <w:b/>
          <w:bCs/>
          <w:caps/>
        </w:rPr>
      </w:pPr>
    </w:p>
    <w:p w14:paraId="4FC424F9" w14:textId="4E767245" w:rsidR="00C62B36" w:rsidRPr="00517B22" w:rsidRDefault="00C62B36" w:rsidP="00CC09D4">
      <w:pPr>
        <w:pStyle w:val="Sraopastraipa"/>
        <w:numPr>
          <w:ilvl w:val="0"/>
          <w:numId w:val="12"/>
        </w:numPr>
        <w:tabs>
          <w:tab w:val="left" w:pos="567"/>
        </w:tabs>
        <w:ind w:hanging="720"/>
        <w:rPr>
          <w:b/>
          <w:bCs/>
          <w:caps/>
        </w:rPr>
      </w:pPr>
      <w:r w:rsidRPr="00517B22">
        <w:rPr>
          <w:b/>
          <w:bCs/>
          <w:caps/>
        </w:rPr>
        <w:t xml:space="preserve">Pacientų organizacijų pateikti duomenys </w:t>
      </w:r>
    </w:p>
    <w:p w14:paraId="54351841" w14:textId="77777777" w:rsidR="00C9728E" w:rsidRPr="00517B22" w:rsidRDefault="00C9728E" w:rsidP="00C9728E">
      <w:pPr>
        <w:pStyle w:val="Sraopastraipa"/>
        <w:tabs>
          <w:tab w:val="left" w:pos="567"/>
        </w:tabs>
        <w:rPr>
          <w:b/>
          <w:bCs/>
          <w:caps/>
        </w:rPr>
      </w:pPr>
    </w:p>
    <w:p w14:paraId="62992180" w14:textId="79943F28" w:rsidR="00937907" w:rsidRPr="00517B22" w:rsidRDefault="00937907" w:rsidP="00937907">
      <w:pPr>
        <w:spacing w:after="120"/>
        <w:jc w:val="both"/>
      </w:pPr>
      <w:r w:rsidRPr="00517B22">
        <w:t xml:space="preserve">Pacientų organizacijos pozicija </w:t>
      </w:r>
      <w:r w:rsidR="00880A44" w:rsidRPr="00517B22">
        <w:t>ne</w:t>
      </w:r>
      <w:r w:rsidRPr="00517B22">
        <w:t>pateikta.</w:t>
      </w:r>
    </w:p>
    <w:p w14:paraId="03E73D82" w14:textId="77777777" w:rsidR="00D417D2" w:rsidRPr="00517B22" w:rsidRDefault="00D417D2" w:rsidP="00937907">
      <w:pPr>
        <w:spacing w:after="120"/>
        <w:jc w:val="both"/>
      </w:pPr>
    </w:p>
    <w:p w14:paraId="3D3277FA" w14:textId="09414FFF" w:rsidR="00C62B36" w:rsidRPr="00517B22" w:rsidRDefault="00D67BAF" w:rsidP="00CC09D4">
      <w:pPr>
        <w:pStyle w:val="Sraopastraipa"/>
        <w:numPr>
          <w:ilvl w:val="0"/>
          <w:numId w:val="12"/>
        </w:numPr>
        <w:tabs>
          <w:tab w:val="left" w:pos="567"/>
        </w:tabs>
        <w:ind w:hanging="720"/>
        <w:rPr>
          <w:b/>
          <w:bCs/>
          <w:caps/>
        </w:rPr>
      </w:pPr>
      <w:r w:rsidRPr="00517B22">
        <w:rPr>
          <w:b/>
          <w:bCs/>
          <w:caps/>
        </w:rPr>
        <w:t xml:space="preserve">SVEIKATOS PRIEŽIŪROS SPECIALISTŲ </w:t>
      </w:r>
      <w:r w:rsidR="00C62B36" w:rsidRPr="00517B22">
        <w:rPr>
          <w:b/>
          <w:bCs/>
          <w:caps/>
        </w:rPr>
        <w:t xml:space="preserve"> organizacijų pateikti duomenys</w:t>
      </w:r>
    </w:p>
    <w:p w14:paraId="044D5084" w14:textId="77777777" w:rsidR="00C9728E" w:rsidRPr="00517B22" w:rsidRDefault="00C9728E" w:rsidP="00C9728E">
      <w:pPr>
        <w:pStyle w:val="Sraopastraipa"/>
        <w:tabs>
          <w:tab w:val="left" w:pos="567"/>
        </w:tabs>
        <w:rPr>
          <w:b/>
          <w:bCs/>
          <w:caps/>
        </w:rPr>
      </w:pPr>
    </w:p>
    <w:p w14:paraId="3701D46A" w14:textId="233AD455" w:rsidR="00A042B9" w:rsidRPr="00517B22" w:rsidRDefault="00D67BAF" w:rsidP="00662983">
      <w:pPr>
        <w:spacing w:after="120"/>
        <w:jc w:val="both"/>
      </w:pPr>
      <w:r w:rsidRPr="00517B22">
        <w:t>S</w:t>
      </w:r>
      <w:r w:rsidRPr="00517B22">
        <w:rPr>
          <w:bCs/>
        </w:rPr>
        <w:t>veikatos priežiūros specialistų</w:t>
      </w:r>
      <w:r w:rsidR="00937907" w:rsidRPr="00517B22">
        <w:t xml:space="preserve"> organizacijos pozicija </w:t>
      </w:r>
      <w:r w:rsidR="00880A44" w:rsidRPr="00517B22">
        <w:t>ne</w:t>
      </w:r>
      <w:r w:rsidR="00937907" w:rsidRPr="00517B22">
        <w:t>pateikta.</w:t>
      </w:r>
    </w:p>
    <w:p w14:paraId="02B73EAB" w14:textId="77777777" w:rsidR="00252565" w:rsidRPr="00517B22" w:rsidRDefault="00252565" w:rsidP="00662983">
      <w:pPr>
        <w:spacing w:after="120"/>
        <w:jc w:val="both"/>
      </w:pPr>
    </w:p>
    <w:p w14:paraId="78F23ECB" w14:textId="3ED5BFD5" w:rsidR="002F0E4F" w:rsidRPr="00517B22" w:rsidRDefault="002F0E4F" w:rsidP="00CC09D4">
      <w:pPr>
        <w:pStyle w:val="Sraopastraipa"/>
        <w:numPr>
          <w:ilvl w:val="0"/>
          <w:numId w:val="12"/>
        </w:numPr>
        <w:tabs>
          <w:tab w:val="left" w:pos="567"/>
        </w:tabs>
        <w:ind w:hanging="720"/>
        <w:rPr>
          <w:b/>
          <w:bCs/>
          <w:caps/>
        </w:rPr>
      </w:pPr>
      <w:r w:rsidRPr="00517B22">
        <w:rPr>
          <w:b/>
          <w:bCs/>
          <w:caps/>
        </w:rPr>
        <w:t>Išvad</w:t>
      </w:r>
      <w:r w:rsidR="00B811A4" w:rsidRPr="00517B22">
        <w:rPr>
          <w:b/>
          <w:bCs/>
          <w:caps/>
        </w:rPr>
        <w:t>OS</w:t>
      </w:r>
      <w:r w:rsidRPr="00517B22">
        <w:rPr>
          <w:b/>
          <w:bCs/>
          <w:caps/>
        </w:rPr>
        <w:t xml:space="preserve"> </w:t>
      </w:r>
    </w:p>
    <w:p w14:paraId="30069D85" w14:textId="77777777" w:rsidR="0061611B" w:rsidRPr="00517B22" w:rsidRDefault="0061611B" w:rsidP="0061611B">
      <w:pPr>
        <w:ind w:left="360"/>
        <w:rPr>
          <w:i/>
          <w:szCs w:val="22"/>
        </w:rPr>
      </w:pPr>
    </w:p>
    <w:tbl>
      <w:tblPr>
        <w:tblStyle w:val="Lentelstinklelis"/>
        <w:tblW w:w="0" w:type="auto"/>
        <w:tblInd w:w="-5" w:type="dxa"/>
        <w:tblLook w:val="04A0" w:firstRow="1" w:lastRow="0" w:firstColumn="1" w:lastColumn="0" w:noHBand="0" w:noVBand="1"/>
      </w:tblPr>
      <w:tblGrid>
        <w:gridCol w:w="4820"/>
        <w:gridCol w:w="4814"/>
      </w:tblGrid>
      <w:tr w:rsidR="00B811A4" w:rsidRPr="00517B22" w14:paraId="4D5EFB83" w14:textId="77777777" w:rsidTr="007111C4">
        <w:trPr>
          <w:trHeight w:val="510"/>
        </w:trPr>
        <w:tc>
          <w:tcPr>
            <w:tcW w:w="9634" w:type="dxa"/>
            <w:gridSpan w:val="2"/>
            <w:vAlign w:val="center"/>
          </w:tcPr>
          <w:p w14:paraId="294EC16B"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Style2"/>
                <w:rFonts w:eastAsia="MS Gothic"/>
                <w:b/>
                <w:bCs/>
                <w:sz w:val="23"/>
                <w:szCs w:val="23"/>
              </w:rPr>
            </w:pPr>
            <w:bookmarkStart w:id="1" w:name="_Hlk185430554"/>
            <w:r w:rsidRPr="00517B22">
              <w:rPr>
                <w:rStyle w:val="Style2"/>
                <w:rFonts w:eastAsia="MS Gothic"/>
                <w:b/>
                <w:bCs/>
                <w:sz w:val="23"/>
                <w:szCs w:val="23"/>
              </w:rPr>
              <w:lastRenderedPageBreak/>
              <w:t>Palyginamasis veiksmingumas</w:t>
            </w:r>
          </w:p>
        </w:tc>
      </w:tr>
      <w:tr w:rsidR="00B811A4" w:rsidRPr="00517B22" w14:paraId="30B67515" w14:textId="77777777" w:rsidTr="007111C4">
        <w:tc>
          <w:tcPr>
            <w:tcW w:w="4820" w:type="dxa"/>
          </w:tcPr>
          <w:p w14:paraId="4FE3C208" w14:textId="12E68966" w:rsidR="00B811A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397324644"/>
                <w15:color w:val="FFCC00"/>
                <w14:checkbox>
                  <w14:checked w14:val="1"/>
                  <w14:checkedState w14:val="2612" w14:font="MS Gothic"/>
                  <w14:uncheckedState w14:val="2610" w14:font="MS Gothic"/>
                </w14:checkbox>
              </w:sdtPr>
              <w:sdtContent>
                <w:r w:rsidR="0021231B" w:rsidRPr="00517B22">
                  <w:rPr>
                    <w:rStyle w:val="Style2"/>
                    <w:rFonts w:ascii="MS Gothic" w:eastAsia="MS Gothic" w:hAnsi="MS Gothic"/>
                    <w:sz w:val="23"/>
                    <w:szCs w:val="23"/>
                  </w:rPr>
                  <w:t>☒</w:t>
                </w:r>
              </w:sdtContent>
            </w:sdt>
            <w:r w:rsidR="00B811A4" w:rsidRPr="00517B22">
              <w:rPr>
                <w:rStyle w:val="Style2"/>
                <w:sz w:val="23"/>
                <w:szCs w:val="23"/>
              </w:rPr>
              <w:t xml:space="preserve"> 29</w:t>
            </w:r>
            <w:r w:rsidR="00B811A4" w:rsidRPr="00517B22">
              <w:rPr>
                <w:sz w:val="23"/>
                <w:szCs w:val="23"/>
              </w:rPr>
              <w:t>.1.1 yra didesnis, lyginant su įprasta klinikine praktika</w:t>
            </w:r>
          </w:p>
          <w:p w14:paraId="6F9786E4"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231EDECD" w14:textId="77777777" w:rsidR="00B811A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sz w:val="23"/>
                <w:szCs w:val="23"/>
              </w:rPr>
            </w:pPr>
            <w:sdt>
              <w:sdtPr>
                <w:rPr>
                  <w:rStyle w:val="Style2"/>
                  <w:sz w:val="23"/>
                  <w:szCs w:val="23"/>
                </w:rPr>
                <w:id w:val="418297090"/>
                <w15:color w:val="FFCC00"/>
                <w14:checkbox>
                  <w14:checked w14:val="0"/>
                  <w14:checkedState w14:val="2612" w14:font="MS Gothic"/>
                  <w14:uncheckedState w14:val="2610" w14:font="MS Gothic"/>
                </w14:checkbox>
              </w:sdtPr>
              <w:sdtContent>
                <w:r w:rsidR="00B811A4" w:rsidRPr="00517B22">
                  <w:rPr>
                    <w:rStyle w:val="Style2"/>
                    <w:rFonts w:ascii="Segoe UI Symbol" w:eastAsia="MS Gothic" w:hAnsi="Segoe UI Symbol" w:cs="Segoe UI Symbol"/>
                    <w:sz w:val="23"/>
                    <w:szCs w:val="23"/>
                  </w:rPr>
                  <w:t>☐</w:t>
                </w:r>
              </w:sdtContent>
            </w:sdt>
            <w:r w:rsidR="00B811A4" w:rsidRPr="00517B22">
              <w:rPr>
                <w:sz w:val="23"/>
                <w:szCs w:val="23"/>
              </w:rPr>
              <w:t xml:space="preserve"> </w:t>
            </w:r>
            <w:r w:rsidR="00B811A4" w:rsidRPr="00517B22">
              <w:rPr>
                <w:rStyle w:val="Style2"/>
                <w:sz w:val="23"/>
                <w:szCs w:val="23"/>
              </w:rPr>
              <w:t>29</w:t>
            </w:r>
            <w:r w:rsidR="00B811A4" w:rsidRPr="00517B22">
              <w:rPr>
                <w:sz w:val="23"/>
                <w:szCs w:val="23"/>
              </w:rPr>
              <w:t>.1.2 iš esmės nesiskiria, lyginant su įprasta klinikine praktika</w:t>
            </w:r>
          </w:p>
        </w:tc>
        <w:tc>
          <w:tcPr>
            <w:tcW w:w="4814" w:type="dxa"/>
          </w:tcPr>
          <w:p w14:paraId="72562F9E" w14:textId="77777777" w:rsidR="00B811A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724755596"/>
                <w15:color w:val="FFCC00"/>
                <w14:checkbox>
                  <w14:checked w14:val="0"/>
                  <w14:checkedState w14:val="2612" w14:font="MS Gothic"/>
                  <w14:uncheckedState w14:val="2610" w14:font="MS Gothic"/>
                </w14:checkbox>
              </w:sdtPr>
              <w:sdtContent>
                <w:r w:rsidR="00B811A4" w:rsidRPr="00517B22">
                  <w:rPr>
                    <w:rStyle w:val="Style2"/>
                    <w:rFonts w:ascii="Segoe UI Symbol" w:eastAsia="MS Gothic" w:hAnsi="Segoe UI Symbol" w:cs="Segoe UI Symbol"/>
                    <w:sz w:val="23"/>
                    <w:szCs w:val="23"/>
                  </w:rPr>
                  <w:t>☐</w:t>
                </w:r>
              </w:sdtContent>
            </w:sdt>
            <w:r w:rsidR="00B811A4" w:rsidRPr="00517B22">
              <w:rPr>
                <w:sz w:val="23"/>
                <w:szCs w:val="23"/>
              </w:rPr>
              <w:t xml:space="preserve"> </w:t>
            </w:r>
            <w:r w:rsidR="00B811A4" w:rsidRPr="00517B22">
              <w:rPr>
                <w:rStyle w:val="Style2"/>
                <w:sz w:val="23"/>
                <w:szCs w:val="23"/>
              </w:rPr>
              <w:t>29</w:t>
            </w:r>
            <w:r w:rsidR="00B811A4" w:rsidRPr="00517B22">
              <w:rPr>
                <w:sz w:val="23"/>
                <w:szCs w:val="23"/>
              </w:rPr>
              <w:t xml:space="preserve">.1.3 yra neįrodytas kaip didesnis  ar iš esmės nesiskiriantis, lyginant su įprasta klinikine praktika  </w:t>
            </w:r>
          </w:p>
          <w:p w14:paraId="6F6DB5BC"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EE1D885" w14:textId="77777777" w:rsidR="00B811A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862168479"/>
                <w15:color w:val="FFCC00"/>
                <w14:checkbox>
                  <w14:checked w14:val="0"/>
                  <w14:checkedState w14:val="2612" w14:font="MS Gothic"/>
                  <w14:uncheckedState w14:val="2610" w14:font="MS Gothic"/>
                </w14:checkbox>
              </w:sdtPr>
              <w:sdtContent>
                <w:r w:rsidR="00B811A4" w:rsidRPr="00517B22">
                  <w:rPr>
                    <w:rStyle w:val="Style2"/>
                    <w:rFonts w:ascii="Segoe UI Symbol" w:eastAsia="MS Gothic" w:hAnsi="Segoe UI Symbol" w:cs="Segoe UI Symbol"/>
                    <w:sz w:val="23"/>
                    <w:szCs w:val="23"/>
                  </w:rPr>
                  <w:t>☐</w:t>
                </w:r>
              </w:sdtContent>
            </w:sdt>
            <w:r w:rsidR="00B811A4" w:rsidRPr="00517B22">
              <w:rPr>
                <w:sz w:val="23"/>
                <w:szCs w:val="23"/>
              </w:rPr>
              <w:t xml:space="preserve"> </w:t>
            </w:r>
            <w:r w:rsidR="00B811A4" w:rsidRPr="00517B22">
              <w:rPr>
                <w:rStyle w:val="Style2"/>
                <w:sz w:val="23"/>
                <w:szCs w:val="23"/>
              </w:rPr>
              <w:t>29</w:t>
            </w:r>
            <w:r w:rsidR="00B811A4" w:rsidRPr="00517B22">
              <w:rPr>
                <w:sz w:val="23"/>
                <w:szCs w:val="23"/>
              </w:rPr>
              <w:t>.1.4 yra mažesnis, lyginant su įprasta klinikine praktika</w:t>
            </w:r>
          </w:p>
          <w:p w14:paraId="193C3D76"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370E94DC" w14:textId="4EC80DB9" w:rsidR="00B811A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857960180"/>
                <w15:color w:val="FFCC00"/>
                <w14:checkbox>
                  <w14:checked w14:val="0"/>
                  <w14:checkedState w14:val="2612" w14:font="MS Gothic"/>
                  <w14:uncheckedState w14:val="2610" w14:font="MS Gothic"/>
                </w14:checkbox>
              </w:sdtPr>
              <w:sdtContent>
                <w:r w:rsidR="00B811A4" w:rsidRPr="00517B22">
                  <w:rPr>
                    <w:rStyle w:val="Style2"/>
                    <w:rFonts w:ascii="Segoe UI Symbol" w:eastAsia="MS Gothic" w:hAnsi="Segoe UI Symbol" w:cs="Segoe UI Symbol"/>
                    <w:sz w:val="23"/>
                    <w:szCs w:val="23"/>
                  </w:rPr>
                  <w:t>☐</w:t>
                </w:r>
              </w:sdtContent>
            </w:sdt>
            <w:r w:rsidR="00B811A4" w:rsidRPr="00517B22">
              <w:rPr>
                <w:sz w:val="23"/>
                <w:szCs w:val="23"/>
              </w:rPr>
              <w:t xml:space="preserve"> </w:t>
            </w:r>
            <w:r w:rsidR="00B811A4" w:rsidRPr="00517B22">
              <w:rPr>
                <w:rStyle w:val="Style2"/>
                <w:sz w:val="23"/>
                <w:szCs w:val="23"/>
              </w:rPr>
              <w:t>29</w:t>
            </w:r>
            <w:r w:rsidR="00B811A4" w:rsidRPr="00517B22">
              <w:rPr>
                <w:sz w:val="23"/>
                <w:szCs w:val="23"/>
              </w:rPr>
              <w:t>.1.5 pateikti duomenys apie palyginamąjį veiksmingumą yra netinkami vertinti</w:t>
            </w:r>
          </w:p>
          <w:p w14:paraId="45719037"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r>
      <w:bookmarkEnd w:id="1"/>
      <w:tr w:rsidR="00B811A4" w:rsidRPr="00517B22" w14:paraId="0E0F5168" w14:textId="77777777" w:rsidTr="00743956">
        <w:trPr>
          <w:trHeight w:val="510"/>
        </w:trPr>
        <w:tc>
          <w:tcPr>
            <w:tcW w:w="9634" w:type="dxa"/>
            <w:gridSpan w:val="2"/>
            <w:vAlign w:val="center"/>
          </w:tcPr>
          <w:p w14:paraId="62B67E12"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Style2"/>
                <w:rFonts w:eastAsia="MS Gothic"/>
                <w:b/>
                <w:bCs/>
                <w:sz w:val="23"/>
                <w:szCs w:val="23"/>
              </w:rPr>
            </w:pPr>
            <w:r w:rsidRPr="00517B22">
              <w:rPr>
                <w:rStyle w:val="Style2"/>
                <w:rFonts w:eastAsia="MS Gothic"/>
                <w:b/>
                <w:bCs/>
                <w:sz w:val="23"/>
                <w:szCs w:val="23"/>
              </w:rPr>
              <w:t>Kaštų naudingumas</w:t>
            </w:r>
          </w:p>
        </w:tc>
      </w:tr>
      <w:tr w:rsidR="00B811A4" w:rsidRPr="00517B22" w14:paraId="6A2F62B2" w14:textId="77777777" w:rsidTr="00743956">
        <w:tc>
          <w:tcPr>
            <w:tcW w:w="4820" w:type="dxa"/>
          </w:tcPr>
          <w:p w14:paraId="7CB2C697" w14:textId="44A4E1DF" w:rsidR="00B811A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301657889"/>
                <w15:color w:val="FFCC00"/>
                <w14:checkbox>
                  <w14:checked w14:val="0"/>
                  <w14:checkedState w14:val="2612" w14:font="MS Gothic"/>
                  <w14:uncheckedState w14:val="2610" w14:font="MS Gothic"/>
                </w14:checkbox>
              </w:sdtPr>
              <w:sdtContent>
                <w:r w:rsidR="00B811A4" w:rsidRPr="00517B22">
                  <w:rPr>
                    <w:rStyle w:val="Style2"/>
                    <w:rFonts w:ascii="Segoe UI Symbol" w:eastAsia="MS Gothic" w:hAnsi="Segoe UI Symbol" w:cs="Segoe UI Symbol"/>
                    <w:sz w:val="23"/>
                    <w:szCs w:val="23"/>
                  </w:rPr>
                  <w:t>☐</w:t>
                </w:r>
              </w:sdtContent>
            </w:sdt>
            <w:r w:rsidR="00B811A4" w:rsidRPr="00517B22">
              <w:rPr>
                <w:sz w:val="23"/>
                <w:szCs w:val="23"/>
              </w:rPr>
              <w:t xml:space="preserve"> 29.2.1 atitinka referencinę naudingumo vertę taikant arba netaikant</w:t>
            </w:r>
            <w:r w:rsidR="00437623" w:rsidRPr="00517B22">
              <w:rPr>
                <w:b/>
                <w:bCs/>
                <w:sz w:val="23"/>
                <w:szCs w:val="23"/>
              </w:rPr>
              <w:t xml:space="preserve"> </w:t>
            </w:r>
            <w:r w:rsidR="00B811A4" w:rsidRPr="00517B22">
              <w:rPr>
                <w:sz w:val="23"/>
                <w:szCs w:val="23"/>
              </w:rPr>
              <w:t>PGS</w:t>
            </w:r>
          </w:p>
          <w:p w14:paraId="71797774"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BE88CDB" w14:textId="60C4FFA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c>
          <w:tcPr>
            <w:tcW w:w="4814" w:type="dxa"/>
          </w:tcPr>
          <w:p w14:paraId="0370A72C" w14:textId="5BA4D154" w:rsidR="00B811A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791860283"/>
                <w15:color w:val="FFCC00"/>
                <w14:checkbox>
                  <w14:checked w14:val="1"/>
                  <w14:checkedState w14:val="2612" w14:font="MS Gothic"/>
                  <w14:uncheckedState w14:val="2610" w14:font="MS Gothic"/>
                </w14:checkbox>
              </w:sdtPr>
              <w:sdtContent>
                <w:r w:rsidR="00252565" w:rsidRPr="00517B22">
                  <w:rPr>
                    <w:rStyle w:val="Style2"/>
                    <w:rFonts w:ascii="MS Gothic" w:eastAsia="MS Gothic" w:hAnsi="MS Gothic"/>
                    <w:sz w:val="23"/>
                    <w:szCs w:val="23"/>
                  </w:rPr>
                  <w:t>☒</w:t>
                </w:r>
              </w:sdtContent>
            </w:sdt>
            <w:r w:rsidR="00B811A4" w:rsidRPr="00517B22">
              <w:rPr>
                <w:sz w:val="23"/>
                <w:szCs w:val="23"/>
              </w:rPr>
              <w:t xml:space="preserve"> 29.2.3 neatitinka referencinės naudingumo vertės netaikant PGS</w:t>
            </w:r>
          </w:p>
          <w:p w14:paraId="13C9EEE5"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289E6691"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FD1976C" w14:textId="77777777" w:rsidR="00B811A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3"/>
                <w:szCs w:val="23"/>
              </w:rPr>
            </w:pPr>
            <w:sdt>
              <w:sdtPr>
                <w:rPr>
                  <w:rStyle w:val="Style2"/>
                  <w:sz w:val="23"/>
                  <w:szCs w:val="23"/>
                </w:rPr>
                <w:id w:val="-943849855"/>
                <w15:color w:val="FFCC00"/>
                <w14:checkbox>
                  <w14:checked w14:val="0"/>
                  <w14:checkedState w14:val="2612" w14:font="MS Gothic"/>
                  <w14:uncheckedState w14:val="2610" w14:font="MS Gothic"/>
                </w14:checkbox>
              </w:sdtPr>
              <w:sdtContent>
                <w:r w:rsidR="00B811A4" w:rsidRPr="00517B22">
                  <w:rPr>
                    <w:rStyle w:val="Style2"/>
                    <w:rFonts w:ascii="Segoe UI Symbol" w:eastAsia="MS Gothic" w:hAnsi="Segoe UI Symbol" w:cs="Segoe UI Symbol"/>
                    <w:sz w:val="23"/>
                    <w:szCs w:val="23"/>
                  </w:rPr>
                  <w:t>☐</w:t>
                </w:r>
              </w:sdtContent>
            </w:sdt>
            <w:r w:rsidR="00B811A4" w:rsidRPr="00517B22">
              <w:rPr>
                <w:sz w:val="23"/>
                <w:szCs w:val="23"/>
              </w:rPr>
              <w:t xml:space="preserve"> 29.2.5 pateikti duomenys apie kaštų naudingumą yra netinkami vertinti</w:t>
            </w:r>
          </w:p>
          <w:p w14:paraId="06AB06C5" w14:textId="77777777" w:rsidR="00B811A4" w:rsidRPr="00517B22"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r>
      <w:tr w:rsidR="007111C4" w:rsidRPr="00517B22" w14:paraId="632C9193" w14:textId="77777777" w:rsidTr="00027464">
        <w:tc>
          <w:tcPr>
            <w:tcW w:w="9634" w:type="dxa"/>
            <w:gridSpan w:val="2"/>
          </w:tcPr>
          <w:p w14:paraId="15C289C9" w14:textId="47C5A3CE" w:rsidR="007111C4" w:rsidRPr="00517B22"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sz w:val="23"/>
                <w:szCs w:val="23"/>
              </w:rPr>
            </w:pPr>
            <w:sdt>
              <w:sdtPr>
                <w:rPr>
                  <w:rStyle w:val="Style2"/>
                  <w:sz w:val="23"/>
                  <w:szCs w:val="23"/>
                </w:rPr>
                <w:id w:val="1266579562"/>
                <w15:color w:val="FFCC00"/>
                <w14:checkbox>
                  <w14:checked w14:val="0"/>
                  <w14:checkedState w14:val="2612" w14:font="MS Gothic"/>
                  <w14:uncheckedState w14:val="2610" w14:font="MS Gothic"/>
                </w14:checkbox>
              </w:sdtPr>
              <w:sdtContent>
                <w:r w:rsidR="007111C4" w:rsidRPr="00517B22">
                  <w:rPr>
                    <w:rStyle w:val="Style2"/>
                    <w:rFonts w:ascii="Segoe UI Symbol" w:eastAsia="MS Gothic" w:hAnsi="Segoe UI Symbol" w:cs="Segoe UI Symbol"/>
                    <w:sz w:val="23"/>
                    <w:szCs w:val="23"/>
                  </w:rPr>
                  <w:t>☐</w:t>
                </w:r>
              </w:sdtContent>
            </w:sdt>
            <w:r w:rsidR="007111C4" w:rsidRPr="00517B22">
              <w:rPr>
                <w:sz w:val="23"/>
                <w:szCs w:val="23"/>
              </w:rPr>
              <w:t xml:space="preserve"> </w:t>
            </w:r>
            <w:r w:rsidR="007111C4" w:rsidRPr="00517B22">
              <w:rPr>
                <w:color w:val="000000"/>
                <w:sz w:val="23"/>
                <w:szCs w:val="23"/>
              </w:rPr>
              <w:t>Vykdant Aprašo &lt;17</w:t>
            </w:r>
            <w:r w:rsidR="007111C4" w:rsidRPr="00517B22">
              <w:rPr>
                <w:color w:val="000000"/>
                <w:sz w:val="23"/>
                <w:szCs w:val="23"/>
                <w:vertAlign w:val="superscript"/>
              </w:rPr>
              <w:t>3</w:t>
            </w:r>
            <w:r w:rsidR="007111C4" w:rsidRPr="00517B22">
              <w:rPr>
                <w:color w:val="000000"/>
                <w:sz w:val="23"/>
                <w:szCs w:val="23"/>
              </w:rPr>
              <w:t>.1&gt;&lt;17</w:t>
            </w:r>
            <w:r w:rsidR="007111C4" w:rsidRPr="00517B22">
              <w:rPr>
                <w:color w:val="000000"/>
                <w:sz w:val="23"/>
                <w:szCs w:val="23"/>
                <w:vertAlign w:val="superscript"/>
              </w:rPr>
              <w:t>3</w:t>
            </w:r>
            <w:r w:rsidR="007111C4" w:rsidRPr="00517B22">
              <w:rPr>
                <w:color w:val="000000"/>
                <w:sz w:val="23"/>
                <w:szCs w:val="23"/>
              </w:rPr>
              <w:t>.2&gt;&lt;17</w:t>
            </w:r>
            <w:r w:rsidR="007111C4" w:rsidRPr="00517B22">
              <w:rPr>
                <w:color w:val="000000"/>
                <w:sz w:val="23"/>
                <w:szCs w:val="23"/>
                <w:vertAlign w:val="superscript"/>
              </w:rPr>
              <w:t>3</w:t>
            </w:r>
            <w:r w:rsidR="007111C4" w:rsidRPr="00517B22">
              <w:rPr>
                <w:color w:val="000000"/>
                <w:sz w:val="23"/>
                <w:szCs w:val="23"/>
              </w:rPr>
              <w:t>.3&gt; punktą vaistinio (-ų) preparato (-ų) ekonominis vertinimas neatliekamas, išvados dėl kaštų naudingumo neteikiamos</w:t>
            </w:r>
          </w:p>
        </w:tc>
      </w:tr>
    </w:tbl>
    <w:p w14:paraId="08D5B3B6" w14:textId="292D1124" w:rsidR="0061611B" w:rsidRPr="00517B22" w:rsidRDefault="0061611B" w:rsidP="0061611B">
      <w:pPr>
        <w:rPr>
          <w:i/>
          <w:szCs w:val="22"/>
        </w:rPr>
      </w:pPr>
    </w:p>
    <w:p w14:paraId="1B85C083" w14:textId="77777777" w:rsidR="009E44AE" w:rsidRPr="00517B22" w:rsidRDefault="009E44AE" w:rsidP="00381024"/>
    <w:p w14:paraId="3B2D1F25" w14:textId="3A80E19F" w:rsidR="000001B0" w:rsidRPr="00517B22" w:rsidRDefault="000001B0" w:rsidP="00CC09D4">
      <w:pPr>
        <w:pStyle w:val="Sraopastraipa"/>
        <w:numPr>
          <w:ilvl w:val="0"/>
          <w:numId w:val="12"/>
        </w:numPr>
        <w:ind w:left="567" w:hanging="567"/>
      </w:pPr>
      <w:r w:rsidRPr="00517B22">
        <w:rPr>
          <w:b/>
        </w:rPr>
        <w:t>REKOME</w:t>
      </w:r>
      <w:r w:rsidR="00D83182" w:rsidRPr="00517B22">
        <w:rPr>
          <w:b/>
        </w:rPr>
        <w:t>N</w:t>
      </w:r>
      <w:r w:rsidRPr="00517B22">
        <w:rPr>
          <w:b/>
        </w:rPr>
        <w:t>DACIJA</w:t>
      </w:r>
    </w:p>
    <w:p w14:paraId="35E33D78" w14:textId="59232BB3" w:rsidR="00B811A4" w:rsidRPr="00517B22" w:rsidRDefault="00B811A4" w:rsidP="00B811A4">
      <w:pPr>
        <w:pStyle w:val="Sraopastraipa"/>
        <w:ind w:left="567"/>
        <w:rPr>
          <w:b/>
        </w:rPr>
      </w:pPr>
    </w:p>
    <w:p w14:paraId="22AD7B35" w14:textId="752E5B9D" w:rsidR="00AC5129" w:rsidRPr="00517B22" w:rsidRDefault="00B811A4" w:rsidP="00AC5129">
      <w:pPr>
        <w:jc w:val="both"/>
        <w:rPr>
          <w:color w:val="000000"/>
          <w:lang w:eastAsia="lt-LT"/>
        </w:rPr>
      </w:pPr>
      <w:r w:rsidRPr="00517B22">
        <w:t xml:space="preserve">Vadovaujantis Vaistinių preparatų ir medicinos pagalbos priemonių įrašymo į kompensavimo sąrašus ir jų keitimo tvarkos aprašo, patvirtinto Lietuvos Respublikos sveikatos apsaugos ministro 2002 m. balandžio 5 d. įsakymu Nr. V-159 „Dėl vaistinių preparatų ir medicinos pagalbos priemonių įrašymo į kompensavimo sąrašus ir jų keitimo tvarkos aprašo patvirtinimo“, </w:t>
      </w:r>
      <w:bookmarkStart w:id="2" w:name="part_2e1d9dd50ec54141ab7a1b19970b9847"/>
      <w:bookmarkEnd w:id="2"/>
      <w:r w:rsidR="00AC5129" w:rsidRPr="00517B22">
        <w:rPr>
          <w:color w:val="000000"/>
          <w:lang w:eastAsia="lt-LT"/>
        </w:rPr>
        <w:t>30</w:t>
      </w:r>
      <w:r w:rsidR="00AC5129" w:rsidRPr="00517B22">
        <w:rPr>
          <w:color w:val="000000"/>
          <w:vertAlign w:val="superscript"/>
          <w:lang w:eastAsia="lt-LT"/>
        </w:rPr>
        <w:t>1</w:t>
      </w:r>
      <w:r w:rsidR="00AC5129" w:rsidRPr="00517B22">
        <w:rPr>
          <w:color w:val="000000"/>
          <w:lang w:eastAsia="lt-LT"/>
        </w:rPr>
        <w:t>.2. papunkčiu rekomenduojama kompensuoti vaistinį preparatą pagal paraiškoje nurodytą indikaciją (arba jos dalį) su arba be skyrimo sąlygų, jei, pateikus naują ar atnaujintą PGS, kaštų naudingumas atitinka referencinę naudingumo vertę, kai vertinimo išvados atitinka Aprašo 29.1.1 ir 29.2.3 papunkčiuose numatytas sąlygas</w:t>
      </w:r>
      <w:r w:rsidR="00252565" w:rsidRPr="00517B22">
        <w:rPr>
          <w:color w:val="000000"/>
          <w:lang w:eastAsia="lt-LT"/>
        </w:rPr>
        <w:t>.</w:t>
      </w:r>
    </w:p>
    <w:p w14:paraId="3D60BB06" w14:textId="77777777" w:rsidR="00B811A4" w:rsidRPr="00517B22" w:rsidRDefault="00B811A4" w:rsidP="00B811A4">
      <w:pPr>
        <w:widowControl w:val="0"/>
        <w:tabs>
          <w:tab w:val="left" w:pos="1418"/>
        </w:tabs>
        <w:suppressAutoHyphens/>
        <w:spacing w:line="360" w:lineRule="atLeast"/>
        <w:jc w:val="center"/>
        <w:textAlignment w:val="center"/>
        <w:rPr>
          <w:color w:val="000000"/>
          <w:lang w:eastAsia="lt-LT"/>
        </w:rPr>
      </w:pPr>
    </w:p>
    <w:p w14:paraId="42F3A222" w14:textId="77777777" w:rsidR="00B811A4" w:rsidRPr="00517B22" w:rsidRDefault="00B811A4" w:rsidP="00B811A4">
      <w:pPr>
        <w:tabs>
          <w:tab w:val="left" w:pos="426"/>
        </w:tabs>
        <w:jc w:val="both"/>
        <w:rPr>
          <w:b/>
          <w:lang w:eastAsia="lt-LT"/>
        </w:rPr>
      </w:pPr>
      <w:r w:rsidRPr="00517B22">
        <w:rPr>
          <w:b/>
          <w:lang w:eastAsia="lt-LT"/>
        </w:rPr>
        <w:t xml:space="preserve">4.3 Siūloma (-os) kompensuoti terapinės indikacijos ir skyrimo sąlygos </w:t>
      </w:r>
    </w:p>
    <w:p w14:paraId="179FBABC" w14:textId="77777777" w:rsidR="00B811A4" w:rsidRPr="00517B22" w:rsidRDefault="00B811A4" w:rsidP="00B811A4">
      <w:pPr>
        <w:tabs>
          <w:tab w:val="left" w:pos="426"/>
        </w:tabs>
        <w:jc w:val="both"/>
        <w:rPr>
          <w:b/>
          <w:lang w:eastAsia="lt-LT"/>
        </w:rPr>
      </w:pPr>
    </w:p>
    <w:p w14:paraId="25C2237D" w14:textId="77777777" w:rsidR="0021231B" w:rsidRPr="00517B22" w:rsidRDefault="0021231B" w:rsidP="0021231B">
      <w:pPr>
        <w:pStyle w:val="Betarp"/>
        <w:jc w:val="both"/>
        <w:rPr>
          <w:rFonts w:ascii="Times New Roman" w:hAnsi="Times New Roman"/>
          <w:b/>
          <w:sz w:val="24"/>
          <w:szCs w:val="24"/>
          <w:lang w:eastAsia="lt-LT"/>
        </w:rPr>
      </w:pPr>
      <w:r w:rsidRPr="00517B22">
        <w:rPr>
          <w:rFonts w:ascii="Times New Roman" w:hAnsi="Times New Roman"/>
          <w:b/>
          <w:sz w:val="24"/>
          <w:szCs w:val="24"/>
          <w:lang w:eastAsia="lt-LT"/>
        </w:rPr>
        <w:t>Terapinės indikacijos</w:t>
      </w:r>
    </w:p>
    <w:p w14:paraId="689DC1ED" w14:textId="39475B43" w:rsidR="008A6F38" w:rsidRPr="00517B22" w:rsidRDefault="008A6F38" w:rsidP="008A6F38">
      <w:pPr>
        <w:jc w:val="both"/>
      </w:pPr>
      <w:r w:rsidRPr="00517B22">
        <w:t>Kerendia skirtas suaugusiųjų simptominio lėtinio širdies nepakankamumo gydymui, kai kairiojo skilvelio išstūmi</w:t>
      </w:r>
      <w:r w:rsidR="00562AE8" w:rsidRPr="00517B22">
        <w:t>m</w:t>
      </w:r>
      <w:r w:rsidRPr="00517B22">
        <w:t>o frakcija (KSIF) ≥ 40 %.</w:t>
      </w:r>
    </w:p>
    <w:p w14:paraId="55664338" w14:textId="77777777" w:rsidR="008A6F38" w:rsidRPr="00517B22" w:rsidRDefault="008A6F38" w:rsidP="008A6F38">
      <w:pPr>
        <w:jc w:val="both"/>
      </w:pPr>
    </w:p>
    <w:p w14:paraId="24A11F27" w14:textId="630980F0" w:rsidR="008A6F38" w:rsidRPr="00517B22" w:rsidRDefault="008A6F38" w:rsidP="008A6F38">
      <w:pPr>
        <w:jc w:val="both"/>
      </w:pPr>
      <w:r w:rsidRPr="00517B22">
        <w:t>TLK-10-AM kodas: I50.</w:t>
      </w:r>
    </w:p>
    <w:p w14:paraId="07258654" w14:textId="77777777" w:rsidR="008A6F38" w:rsidRPr="00517B22" w:rsidRDefault="008A6F38" w:rsidP="008A6F38">
      <w:pPr>
        <w:pStyle w:val="Betarp"/>
        <w:jc w:val="both"/>
        <w:rPr>
          <w:rFonts w:ascii="Times New Roman" w:hAnsi="Times New Roman"/>
          <w:sz w:val="24"/>
          <w:szCs w:val="24"/>
        </w:rPr>
      </w:pPr>
    </w:p>
    <w:p w14:paraId="459F0734" w14:textId="77777777" w:rsidR="008A6F38" w:rsidRPr="00517B22" w:rsidRDefault="008A6F38" w:rsidP="008A6F38">
      <w:pPr>
        <w:pStyle w:val="Betarp"/>
        <w:jc w:val="both"/>
        <w:rPr>
          <w:rFonts w:ascii="Times New Roman" w:hAnsi="Times New Roman"/>
          <w:b/>
          <w:sz w:val="24"/>
          <w:szCs w:val="24"/>
        </w:rPr>
      </w:pPr>
      <w:r w:rsidRPr="00517B22">
        <w:rPr>
          <w:rFonts w:ascii="Times New Roman" w:hAnsi="Times New Roman"/>
          <w:b/>
          <w:sz w:val="24"/>
          <w:szCs w:val="24"/>
        </w:rPr>
        <w:t>Skyrimo sąlygos</w:t>
      </w:r>
    </w:p>
    <w:p w14:paraId="7D5C6700" w14:textId="78156A66" w:rsidR="00D5470B" w:rsidRPr="00517B22" w:rsidRDefault="008A6F38" w:rsidP="008A6F38">
      <w:r w:rsidRPr="00517B22">
        <w:t xml:space="preserve">Skiriamas gydyti suaugusiesiems, sergantiems simptominiu lėtiniu širdies nepakankamumu su išlikusia išstūmimo frakcija </w:t>
      </w:r>
      <w:r w:rsidR="00C11BD8" w:rsidRPr="00517B22">
        <w:t>(&gt;</w:t>
      </w:r>
      <w:r w:rsidRPr="00517B22">
        <w:t xml:space="preserve"> 40 proc.), esant II–IV NYHA funkcinei klasei</w:t>
      </w:r>
      <w:r w:rsidR="003837DC" w:rsidRPr="00517B22">
        <w:t>.</w:t>
      </w:r>
    </w:p>
    <w:p w14:paraId="7CDFF220" w14:textId="0716C049" w:rsidR="000723FF" w:rsidRPr="00517B22" w:rsidRDefault="00283E59" w:rsidP="003837DC">
      <w:pPr>
        <w:widowControl w:val="0"/>
        <w:tabs>
          <w:tab w:val="left" w:pos="1418"/>
        </w:tabs>
        <w:suppressAutoHyphens/>
        <w:spacing w:line="360" w:lineRule="atLeast"/>
        <w:jc w:val="center"/>
        <w:textAlignment w:val="center"/>
        <w:rPr>
          <w:b/>
        </w:rPr>
      </w:pPr>
      <w:r w:rsidRPr="00517B22">
        <w:rPr>
          <w:color w:val="000000"/>
          <w:lang w:eastAsia="lt-LT"/>
        </w:rPr>
        <w:t>____________________________</w:t>
      </w:r>
    </w:p>
    <w:sectPr w:rsidR="000723FF" w:rsidRPr="00517B22" w:rsidSect="00063A50">
      <w:headerReference w:type="first" r:id="rId8"/>
      <w:footerReference w:type="first" r:id="rId9"/>
      <w:pgSz w:w="11907" w:h="16840" w:code="9"/>
      <w:pgMar w:top="1134" w:right="567" w:bottom="1134" w:left="1701" w:header="646"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189DD" w14:textId="77777777" w:rsidR="00F23C05" w:rsidRDefault="00F23C05">
      <w:r>
        <w:separator/>
      </w:r>
    </w:p>
  </w:endnote>
  <w:endnote w:type="continuationSeparator" w:id="0">
    <w:p w14:paraId="023FE6F3" w14:textId="77777777" w:rsidR="00F23C05" w:rsidRDefault="00F23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3368" w14:textId="77777777" w:rsidR="00347FAA" w:rsidRDefault="00347FAA">
    <w:pPr>
      <w:pStyle w:val="Porat"/>
      <w:jc w:val="right"/>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D85D0" w14:textId="77777777" w:rsidR="00F23C05" w:rsidRDefault="00F23C05">
      <w:r>
        <w:separator/>
      </w:r>
    </w:p>
  </w:footnote>
  <w:footnote w:type="continuationSeparator" w:id="0">
    <w:p w14:paraId="758FD0FE" w14:textId="77777777" w:rsidR="00F23C05" w:rsidRDefault="00F23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1C8F" w14:textId="77777777" w:rsidR="00347FAA" w:rsidRDefault="00347FAA" w:rsidP="00FD793C">
    <w:pPr>
      <w:pStyle w:val="Antrats"/>
      <w:ind w:left="612"/>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D8E"/>
    <w:multiLevelType w:val="hybridMultilevel"/>
    <w:tmpl w:val="10FAC1C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01276250"/>
    <w:multiLevelType w:val="hybridMultilevel"/>
    <w:tmpl w:val="3B6C29F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9E0081E"/>
    <w:multiLevelType w:val="multilevel"/>
    <w:tmpl w:val="0427001F"/>
    <w:lvl w:ilvl="0">
      <w:start w:val="1"/>
      <w:numFmt w:val="decimal"/>
      <w:lvlText w:val="%1."/>
      <w:lvlJc w:val="left"/>
      <w:pPr>
        <w:ind w:left="360" w:hanging="360"/>
      </w:pPr>
      <w:rPr>
        <w:rFonts w:hint="default"/>
        <w:b w:val="0"/>
        <w:bCs w:val="0"/>
      </w:rPr>
    </w:lvl>
    <w:lvl w:ilvl="1">
      <w:start w:val="1"/>
      <w:numFmt w:val="decimal"/>
      <w:lvlText w:val="%1.%2."/>
      <w:lvlJc w:val="left"/>
      <w:pPr>
        <w:ind w:left="28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AD2E58"/>
    <w:multiLevelType w:val="hybridMultilevel"/>
    <w:tmpl w:val="F6943F7A"/>
    <w:lvl w:ilvl="0" w:tplc="AB64BC8E">
      <w:start w:val="1"/>
      <w:numFmt w:val="decimal"/>
      <w:lvlText w:val="%1."/>
      <w:lvlJc w:val="left"/>
      <w:pPr>
        <w:ind w:left="720" w:hanging="360"/>
      </w:pPr>
      <w:rPr>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A101C59"/>
    <w:multiLevelType w:val="hybridMultilevel"/>
    <w:tmpl w:val="64544F3A"/>
    <w:lvl w:ilvl="0" w:tplc="04270001">
      <w:start w:val="1"/>
      <w:numFmt w:val="bullet"/>
      <w:lvlText w:val=""/>
      <w:lvlJc w:val="left"/>
      <w:pPr>
        <w:ind w:left="2160" w:hanging="360"/>
      </w:pPr>
      <w:rPr>
        <w:rFonts w:ascii="Symbol" w:hAnsi="Symbol"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5" w15:restartNumberingAfterBreak="0">
    <w:nsid w:val="1A816B09"/>
    <w:multiLevelType w:val="hybridMultilevel"/>
    <w:tmpl w:val="8FBEE17A"/>
    <w:lvl w:ilvl="0" w:tplc="0427000F">
      <w:start w:val="16"/>
      <w:numFmt w:val="decimal"/>
      <w:lvlText w:val="%1."/>
      <w:lvlJc w:val="left"/>
      <w:pPr>
        <w:ind w:left="501" w:hanging="360"/>
      </w:pPr>
      <w:rPr>
        <w:rFonts w:hint="default"/>
      </w:rPr>
    </w:lvl>
    <w:lvl w:ilvl="1" w:tplc="04270019" w:tentative="1">
      <w:start w:val="1"/>
      <w:numFmt w:val="lowerLetter"/>
      <w:lvlText w:val="%2."/>
      <w:lvlJc w:val="left"/>
      <w:pPr>
        <w:ind w:left="1581" w:hanging="360"/>
      </w:pPr>
    </w:lvl>
    <w:lvl w:ilvl="2" w:tplc="0427001B" w:tentative="1">
      <w:start w:val="1"/>
      <w:numFmt w:val="lowerRoman"/>
      <w:lvlText w:val="%3."/>
      <w:lvlJc w:val="right"/>
      <w:pPr>
        <w:ind w:left="2301" w:hanging="180"/>
      </w:pPr>
    </w:lvl>
    <w:lvl w:ilvl="3" w:tplc="0427000F" w:tentative="1">
      <w:start w:val="1"/>
      <w:numFmt w:val="decimal"/>
      <w:lvlText w:val="%4."/>
      <w:lvlJc w:val="left"/>
      <w:pPr>
        <w:ind w:left="3021" w:hanging="360"/>
      </w:pPr>
    </w:lvl>
    <w:lvl w:ilvl="4" w:tplc="04270019" w:tentative="1">
      <w:start w:val="1"/>
      <w:numFmt w:val="lowerLetter"/>
      <w:lvlText w:val="%5."/>
      <w:lvlJc w:val="left"/>
      <w:pPr>
        <w:ind w:left="3741" w:hanging="360"/>
      </w:pPr>
    </w:lvl>
    <w:lvl w:ilvl="5" w:tplc="0427001B" w:tentative="1">
      <w:start w:val="1"/>
      <w:numFmt w:val="lowerRoman"/>
      <w:lvlText w:val="%6."/>
      <w:lvlJc w:val="right"/>
      <w:pPr>
        <w:ind w:left="4461" w:hanging="180"/>
      </w:pPr>
    </w:lvl>
    <w:lvl w:ilvl="6" w:tplc="0427000F" w:tentative="1">
      <w:start w:val="1"/>
      <w:numFmt w:val="decimal"/>
      <w:lvlText w:val="%7."/>
      <w:lvlJc w:val="left"/>
      <w:pPr>
        <w:ind w:left="5181" w:hanging="360"/>
      </w:pPr>
    </w:lvl>
    <w:lvl w:ilvl="7" w:tplc="04270019" w:tentative="1">
      <w:start w:val="1"/>
      <w:numFmt w:val="lowerLetter"/>
      <w:lvlText w:val="%8."/>
      <w:lvlJc w:val="left"/>
      <w:pPr>
        <w:ind w:left="5901" w:hanging="360"/>
      </w:pPr>
    </w:lvl>
    <w:lvl w:ilvl="8" w:tplc="0427001B" w:tentative="1">
      <w:start w:val="1"/>
      <w:numFmt w:val="lowerRoman"/>
      <w:lvlText w:val="%9."/>
      <w:lvlJc w:val="right"/>
      <w:pPr>
        <w:ind w:left="6621" w:hanging="180"/>
      </w:pPr>
    </w:lvl>
  </w:abstractNum>
  <w:abstractNum w:abstractNumId="6" w15:restartNumberingAfterBreak="0">
    <w:nsid w:val="3975004F"/>
    <w:multiLevelType w:val="hybridMultilevel"/>
    <w:tmpl w:val="13E4607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7" w15:restartNumberingAfterBreak="0">
    <w:nsid w:val="3BCC4222"/>
    <w:multiLevelType w:val="multilevel"/>
    <w:tmpl w:val="C9C6278E"/>
    <w:lvl w:ilvl="0">
      <w:start w:val="2"/>
      <w:numFmt w:val="decimal"/>
      <w:lvlText w:val="%1."/>
      <w:lvlJc w:val="left"/>
      <w:pPr>
        <w:ind w:left="360" w:hanging="360"/>
      </w:pPr>
      <w:rPr>
        <w:rFonts w:eastAsia="Arial Unicode MS" w:hint="default"/>
      </w:rPr>
    </w:lvl>
    <w:lvl w:ilvl="1">
      <w:start w:val="7"/>
      <w:numFmt w:val="decimal"/>
      <w:lvlText w:val="%1.%2."/>
      <w:lvlJc w:val="left"/>
      <w:pPr>
        <w:ind w:left="720" w:hanging="360"/>
      </w:pPr>
      <w:rPr>
        <w:rFonts w:eastAsia="Arial Unicode MS" w:hint="default"/>
      </w:rPr>
    </w:lvl>
    <w:lvl w:ilvl="2">
      <w:start w:val="1"/>
      <w:numFmt w:val="decimal"/>
      <w:lvlText w:val="%1.%2.%3."/>
      <w:lvlJc w:val="left"/>
      <w:pPr>
        <w:ind w:left="1440" w:hanging="720"/>
      </w:pPr>
      <w:rPr>
        <w:rFonts w:eastAsia="Arial Unicode MS" w:hint="default"/>
      </w:rPr>
    </w:lvl>
    <w:lvl w:ilvl="3">
      <w:start w:val="1"/>
      <w:numFmt w:val="decimal"/>
      <w:lvlText w:val="%1.%2.%3.%4."/>
      <w:lvlJc w:val="left"/>
      <w:pPr>
        <w:ind w:left="1800" w:hanging="720"/>
      </w:pPr>
      <w:rPr>
        <w:rFonts w:eastAsia="Arial Unicode MS" w:hint="default"/>
      </w:r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2880" w:hanging="108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3960" w:hanging="144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8" w15:restartNumberingAfterBreak="0">
    <w:nsid w:val="41953EAB"/>
    <w:multiLevelType w:val="hybridMultilevel"/>
    <w:tmpl w:val="D0F01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9B0191"/>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9B83C1B"/>
    <w:multiLevelType w:val="multilevel"/>
    <w:tmpl w:val="5F38437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1" w15:restartNumberingAfterBreak="0">
    <w:nsid w:val="5A0D73F3"/>
    <w:multiLevelType w:val="hybridMultilevel"/>
    <w:tmpl w:val="CA9A2AC8"/>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30E5544"/>
    <w:multiLevelType w:val="hybridMultilevel"/>
    <w:tmpl w:val="B20037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AB27E1E"/>
    <w:multiLevelType w:val="hybridMultilevel"/>
    <w:tmpl w:val="3D568A5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2266018"/>
    <w:multiLevelType w:val="hybridMultilevel"/>
    <w:tmpl w:val="AA9C98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74192B8C"/>
    <w:multiLevelType w:val="hybridMultilevel"/>
    <w:tmpl w:val="C9C656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30763969">
    <w:abstractNumId w:val="8"/>
  </w:num>
  <w:num w:numId="2" w16cid:durableId="844636936">
    <w:abstractNumId w:val="2"/>
  </w:num>
  <w:num w:numId="3" w16cid:durableId="83651721">
    <w:abstractNumId w:val="10"/>
  </w:num>
  <w:num w:numId="4" w16cid:durableId="920262949">
    <w:abstractNumId w:val="9"/>
  </w:num>
  <w:num w:numId="5" w16cid:durableId="1477524625">
    <w:abstractNumId w:val="7"/>
  </w:num>
  <w:num w:numId="6" w16cid:durableId="540017923">
    <w:abstractNumId w:val="6"/>
  </w:num>
  <w:num w:numId="7" w16cid:durableId="1236479362">
    <w:abstractNumId w:val="4"/>
  </w:num>
  <w:num w:numId="8" w16cid:durableId="824786170">
    <w:abstractNumId w:val="14"/>
  </w:num>
  <w:num w:numId="9" w16cid:durableId="1994337129">
    <w:abstractNumId w:val="0"/>
  </w:num>
  <w:num w:numId="10" w16cid:durableId="1504778719">
    <w:abstractNumId w:val="11"/>
  </w:num>
  <w:num w:numId="11" w16cid:durableId="130634881">
    <w:abstractNumId w:val="13"/>
  </w:num>
  <w:num w:numId="12" w16cid:durableId="2075465105">
    <w:abstractNumId w:val="3"/>
  </w:num>
  <w:num w:numId="13" w16cid:durableId="1779064140">
    <w:abstractNumId w:val="5"/>
  </w:num>
  <w:num w:numId="14" w16cid:durableId="2088065061">
    <w:abstractNumId w:val="1"/>
  </w:num>
  <w:num w:numId="15" w16cid:durableId="1421489091">
    <w:abstractNumId w:val="15"/>
  </w:num>
  <w:num w:numId="16" w16cid:durableId="15129913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0E7"/>
    <w:rsid w:val="000001B0"/>
    <w:rsid w:val="00003F5B"/>
    <w:rsid w:val="000114DD"/>
    <w:rsid w:val="000136F7"/>
    <w:rsid w:val="000203E1"/>
    <w:rsid w:val="00021E71"/>
    <w:rsid w:val="0002686C"/>
    <w:rsid w:val="00031D0E"/>
    <w:rsid w:val="000337E6"/>
    <w:rsid w:val="0003402E"/>
    <w:rsid w:val="00034EAE"/>
    <w:rsid w:val="00042924"/>
    <w:rsid w:val="000448C6"/>
    <w:rsid w:val="00052BD8"/>
    <w:rsid w:val="00053975"/>
    <w:rsid w:val="00057A2B"/>
    <w:rsid w:val="000606BE"/>
    <w:rsid w:val="000624FF"/>
    <w:rsid w:val="00063174"/>
    <w:rsid w:val="00063A50"/>
    <w:rsid w:val="000723FF"/>
    <w:rsid w:val="000736B8"/>
    <w:rsid w:val="0008190F"/>
    <w:rsid w:val="00081D9C"/>
    <w:rsid w:val="00082907"/>
    <w:rsid w:val="0008378D"/>
    <w:rsid w:val="000908A5"/>
    <w:rsid w:val="00092805"/>
    <w:rsid w:val="000A50C9"/>
    <w:rsid w:val="000B2B2C"/>
    <w:rsid w:val="000C454C"/>
    <w:rsid w:val="000D5038"/>
    <w:rsid w:val="000E29D4"/>
    <w:rsid w:val="000F3540"/>
    <w:rsid w:val="00100491"/>
    <w:rsid w:val="00104E2E"/>
    <w:rsid w:val="00107287"/>
    <w:rsid w:val="00114FEB"/>
    <w:rsid w:val="00117194"/>
    <w:rsid w:val="00117406"/>
    <w:rsid w:val="00121EF0"/>
    <w:rsid w:val="00124A9E"/>
    <w:rsid w:val="00130703"/>
    <w:rsid w:val="0013153F"/>
    <w:rsid w:val="001408B8"/>
    <w:rsid w:val="001466FE"/>
    <w:rsid w:val="001517E2"/>
    <w:rsid w:val="001521D9"/>
    <w:rsid w:val="001554E2"/>
    <w:rsid w:val="00164146"/>
    <w:rsid w:val="00164D64"/>
    <w:rsid w:val="00166FBB"/>
    <w:rsid w:val="0017369C"/>
    <w:rsid w:val="00175D57"/>
    <w:rsid w:val="00180C39"/>
    <w:rsid w:val="00180D96"/>
    <w:rsid w:val="00184BD3"/>
    <w:rsid w:val="001921F3"/>
    <w:rsid w:val="001A0CAA"/>
    <w:rsid w:val="001B3C5B"/>
    <w:rsid w:val="001C2FC8"/>
    <w:rsid w:val="001C6353"/>
    <w:rsid w:val="001D5B91"/>
    <w:rsid w:val="001D746F"/>
    <w:rsid w:val="001E0B2D"/>
    <w:rsid w:val="001E4BBB"/>
    <w:rsid w:val="001E6304"/>
    <w:rsid w:val="001F115E"/>
    <w:rsid w:val="0020381E"/>
    <w:rsid w:val="0021231B"/>
    <w:rsid w:val="00213471"/>
    <w:rsid w:val="00215906"/>
    <w:rsid w:val="00241CD8"/>
    <w:rsid w:val="00244B09"/>
    <w:rsid w:val="002519CB"/>
    <w:rsid w:val="00252565"/>
    <w:rsid w:val="0025697F"/>
    <w:rsid w:val="00260258"/>
    <w:rsid w:val="0026588E"/>
    <w:rsid w:val="00272428"/>
    <w:rsid w:val="00272948"/>
    <w:rsid w:val="00283E59"/>
    <w:rsid w:val="00292392"/>
    <w:rsid w:val="002946C7"/>
    <w:rsid w:val="002B3CC1"/>
    <w:rsid w:val="002C0686"/>
    <w:rsid w:val="002C09E0"/>
    <w:rsid w:val="002C100E"/>
    <w:rsid w:val="002C1BB1"/>
    <w:rsid w:val="002C2786"/>
    <w:rsid w:val="002C3A10"/>
    <w:rsid w:val="002C4A90"/>
    <w:rsid w:val="002C4ED5"/>
    <w:rsid w:val="002D02EF"/>
    <w:rsid w:val="002D0844"/>
    <w:rsid w:val="002E0702"/>
    <w:rsid w:val="002E1A83"/>
    <w:rsid w:val="002E57AD"/>
    <w:rsid w:val="002E6F80"/>
    <w:rsid w:val="002F0E4F"/>
    <w:rsid w:val="002F1053"/>
    <w:rsid w:val="00314816"/>
    <w:rsid w:val="00317B0E"/>
    <w:rsid w:val="00336238"/>
    <w:rsid w:val="00347FAA"/>
    <w:rsid w:val="0035172D"/>
    <w:rsid w:val="0036187D"/>
    <w:rsid w:val="00367EDB"/>
    <w:rsid w:val="003705F0"/>
    <w:rsid w:val="00381024"/>
    <w:rsid w:val="003837DC"/>
    <w:rsid w:val="00386307"/>
    <w:rsid w:val="003874DE"/>
    <w:rsid w:val="00393E9F"/>
    <w:rsid w:val="0039696E"/>
    <w:rsid w:val="003B211A"/>
    <w:rsid w:val="003B4EA2"/>
    <w:rsid w:val="003C141F"/>
    <w:rsid w:val="003C6B0E"/>
    <w:rsid w:val="003C7257"/>
    <w:rsid w:val="003C7E35"/>
    <w:rsid w:val="003D1E99"/>
    <w:rsid w:val="003D268E"/>
    <w:rsid w:val="003D6208"/>
    <w:rsid w:val="003E0E2D"/>
    <w:rsid w:val="00404E8A"/>
    <w:rsid w:val="0040622F"/>
    <w:rsid w:val="00413F24"/>
    <w:rsid w:val="00422853"/>
    <w:rsid w:val="00423160"/>
    <w:rsid w:val="00437623"/>
    <w:rsid w:val="0044018C"/>
    <w:rsid w:val="00444A2B"/>
    <w:rsid w:val="00453862"/>
    <w:rsid w:val="0045469B"/>
    <w:rsid w:val="00461338"/>
    <w:rsid w:val="004677DB"/>
    <w:rsid w:val="00475513"/>
    <w:rsid w:val="00476256"/>
    <w:rsid w:val="0048630F"/>
    <w:rsid w:val="004947A1"/>
    <w:rsid w:val="0049482A"/>
    <w:rsid w:val="00496406"/>
    <w:rsid w:val="004979D3"/>
    <w:rsid w:val="004A00E7"/>
    <w:rsid w:val="004A3A61"/>
    <w:rsid w:val="004B59BA"/>
    <w:rsid w:val="004B5A03"/>
    <w:rsid w:val="004C263A"/>
    <w:rsid w:val="004C6221"/>
    <w:rsid w:val="004D48A6"/>
    <w:rsid w:val="004D70B6"/>
    <w:rsid w:val="004D7B8F"/>
    <w:rsid w:val="004E04E7"/>
    <w:rsid w:val="004E241F"/>
    <w:rsid w:val="004E6458"/>
    <w:rsid w:val="004E6E7D"/>
    <w:rsid w:val="004F1AAC"/>
    <w:rsid w:val="004F1AE2"/>
    <w:rsid w:val="004F34F0"/>
    <w:rsid w:val="004F3B2B"/>
    <w:rsid w:val="004F6050"/>
    <w:rsid w:val="005005EF"/>
    <w:rsid w:val="005123C2"/>
    <w:rsid w:val="00517B22"/>
    <w:rsid w:val="0052144B"/>
    <w:rsid w:val="00524066"/>
    <w:rsid w:val="00526A0F"/>
    <w:rsid w:val="00534E11"/>
    <w:rsid w:val="005378D8"/>
    <w:rsid w:val="005400D9"/>
    <w:rsid w:val="005476A4"/>
    <w:rsid w:val="0055019B"/>
    <w:rsid w:val="00556E63"/>
    <w:rsid w:val="005601A4"/>
    <w:rsid w:val="00562AE8"/>
    <w:rsid w:val="00566DBB"/>
    <w:rsid w:val="00567B14"/>
    <w:rsid w:val="00574720"/>
    <w:rsid w:val="005767DB"/>
    <w:rsid w:val="005815E6"/>
    <w:rsid w:val="0058712F"/>
    <w:rsid w:val="005976CE"/>
    <w:rsid w:val="005A23D4"/>
    <w:rsid w:val="005A2D1E"/>
    <w:rsid w:val="005A4698"/>
    <w:rsid w:val="005B3756"/>
    <w:rsid w:val="005C493F"/>
    <w:rsid w:val="005C6BF7"/>
    <w:rsid w:val="005C71BF"/>
    <w:rsid w:val="005D002C"/>
    <w:rsid w:val="005D30E1"/>
    <w:rsid w:val="005D6555"/>
    <w:rsid w:val="005D7BDF"/>
    <w:rsid w:val="005E4870"/>
    <w:rsid w:val="005F71D9"/>
    <w:rsid w:val="005F7602"/>
    <w:rsid w:val="006062BE"/>
    <w:rsid w:val="00613143"/>
    <w:rsid w:val="00613501"/>
    <w:rsid w:val="0061611B"/>
    <w:rsid w:val="006166A8"/>
    <w:rsid w:val="006174A1"/>
    <w:rsid w:val="00621D6C"/>
    <w:rsid w:val="00627405"/>
    <w:rsid w:val="00633B49"/>
    <w:rsid w:val="0064297F"/>
    <w:rsid w:val="00645102"/>
    <w:rsid w:val="00646CF3"/>
    <w:rsid w:val="00653D11"/>
    <w:rsid w:val="00662983"/>
    <w:rsid w:val="006834D3"/>
    <w:rsid w:val="00692625"/>
    <w:rsid w:val="00695CD3"/>
    <w:rsid w:val="006A38B6"/>
    <w:rsid w:val="006B1987"/>
    <w:rsid w:val="006B5B71"/>
    <w:rsid w:val="006B5D3E"/>
    <w:rsid w:val="006B6CB0"/>
    <w:rsid w:val="006C2B64"/>
    <w:rsid w:val="006D1BF3"/>
    <w:rsid w:val="006D4C85"/>
    <w:rsid w:val="006D66AC"/>
    <w:rsid w:val="006E33F6"/>
    <w:rsid w:val="006F1251"/>
    <w:rsid w:val="006F1C23"/>
    <w:rsid w:val="00702C18"/>
    <w:rsid w:val="00703166"/>
    <w:rsid w:val="007111C4"/>
    <w:rsid w:val="007127F3"/>
    <w:rsid w:val="007301CF"/>
    <w:rsid w:val="007316FB"/>
    <w:rsid w:val="00737E2D"/>
    <w:rsid w:val="007424D5"/>
    <w:rsid w:val="00745C63"/>
    <w:rsid w:val="00750A88"/>
    <w:rsid w:val="007523DD"/>
    <w:rsid w:val="00757B7E"/>
    <w:rsid w:val="007656B2"/>
    <w:rsid w:val="0077016F"/>
    <w:rsid w:val="007713AD"/>
    <w:rsid w:val="00795DC5"/>
    <w:rsid w:val="00797153"/>
    <w:rsid w:val="007A21F7"/>
    <w:rsid w:val="007A2B68"/>
    <w:rsid w:val="007B0DDA"/>
    <w:rsid w:val="007D3347"/>
    <w:rsid w:val="007D654E"/>
    <w:rsid w:val="007E5466"/>
    <w:rsid w:val="007F1949"/>
    <w:rsid w:val="007F2592"/>
    <w:rsid w:val="00800A08"/>
    <w:rsid w:val="00817A84"/>
    <w:rsid w:val="008225A4"/>
    <w:rsid w:val="00824B92"/>
    <w:rsid w:val="00826D5E"/>
    <w:rsid w:val="00832013"/>
    <w:rsid w:val="00832DB7"/>
    <w:rsid w:val="00834732"/>
    <w:rsid w:val="0085200C"/>
    <w:rsid w:val="00857C52"/>
    <w:rsid w:val="00860D5F"/>
    <w:rsid w:val="00880A44"/>
    <w:rsid w:val="0088345E"/>
    <w:rsid w:val="0088656F"/>
    <w:rsid w:val="008875BC"/>
    <w:rsid w:val="00891EF6"/>
    <w:rsid w:val="00892FF4"/>
    <w:rsid w:val="0089345A"/>
    <w:rsid w:val="008A0303"/>
    <w:rsid w:val="008A5FDD"/>
    <w:rsid w:val="008A6F38"/>
    <w:rsid w:val="008C3947"/>
    <w:rsid w:val="008E473B"/>
    <w:rsid w:val="008E51A6"/>
    <w:rsid w:val="008E7329"/>
    <w:rsid w:val="008F2ED5"/>
    <w:rsid w:val="0092297E"/>
    <w:rsid w:val="00923292"/>
    <w:rsid w:val="00923651"/>
    <w:rsid w:val="00924DF7"/>
    <w:rsid w:val="00927B56"/>
    <w:rsid w:val="009341BF"/>
    <w:rsid w:val="00937907"/>
    <w:rsid w:val="00941739"/>
    <w:rsid w:val="009500CA"/>
    <w:rsid w:val="00951573"/>
    <w:rsid w:val="00963003"/>
    <w:rsid w:val="00965919"/>
    <w:rsid w:val="00966EEF"/>
    <w:rsid w:val="00971B28"/>
    <w:rsid w:val="00983471"/>
    <w:rsid w:val="009909AB"/>
    <w:rsid w:val="009B37DB"/>
    <w:rsid w:val="009C7A8C"/>
    <w:rsid w:val="009D23F9"/>
    <w:rsid w:val="009D4FA8"/>
    <w:rsid w:val="009E44AE"/>
    <w:rsid w:val="009E6CD6"/>
    <w:rsid w:val="009F4D66"/>
    <w:rsid w:val="00A00C3C"/>
    <w:rsid w:val="00A01091"/>
    <w:rsid w:val="00A042B9"/>
    <w:rsid w:val="00A06DBB"/>
    <w:rsid w:val="00A22ADF"/>
    <w:rsid w:val="00A2310D"/>
    <w:rsid w:val="00A254A2"/>
    <w:rsid w:val="00A31E86"/>
    <w:rsid w:val="00A54D87"/>
    <w:rsid w:val="00A5553C"/>
    <w:rsid w:val="00A63A3D"/>
    <w:rsid w:val="00A701C9"/>
    <w:rsid w:val="00A81785"/>
    <w:rsid w:val="00A84803"/>
    <w:rsid w:val="00A84C51"/>
    <w:rsid w:val="00A86F2B"/>
    <w:rsid w:val="00A91366"/>
    <w:rsid w:val="00A92F91"/>
    <w:rsid w:val="00A93AA6"/>
    <w:rsid w:val="00AA4E48"/>
    <w:rsid w:val="00AA6202"/>
    <w:rsid w:val="00AA7B57"/>
    <w:rsid w:val="00AB2806"/>
    <w:rsid w:val="00AB2D54"/>
    <w:rsid w:val="00AC26FC"/>
    <w:rsid w:val="00AC4A99"/>
    <w:rsid w:val="00AC5129"/>
    <w:rsid w:val="00AC64D2"/>
    <w:rsid w:val="00AD02E7"/>
    <w:rsid w:val="00AE0FE8"/>
    <w:rsid w:val="00AF60D5"/>
    <w:rsid w:val="00B00959"/>
    <w:rsid w:val="00B04415"/>
    <w:rsid w:val="00B06509"/>
    <w:rsid w:val="00B11D60"/>
    <w:rsid w:val="00B13D65"/>
    <w:rsid w:val="00B21805"/>
    <w:rsid w:val="00B3072E"/>
    <w:rsid w:val="00B36E15"/>
    <w:rsid w:val="00B37245"/>
    <w:rsid w:val="00B4017A"/>
    <w:rsid w:val="00B4193A"/>
    <w:rsid w:val="00B4468D"/>
    <w:rsid w:val="00B71C72"/>
    <w:rsid w:val="00B71F04"/>
    <w:rsid w:val="00B74A62"/>
    <w:rsid w:val="00B811A4"/>
    <w:rsid w:val="00B81E92"/>
    <w:rsid w:val="00B908D7"/>
    <w:rsid w:val="00B935E8"/>
    <w:rsid w:val="00B93B30"/>
    <w:rsid w:val="00B94CB5"/>
    <w:rsid w:val="00BA0DD9"/>
    <w:rsid w:val="00BA5DBC"/>
    <w:rsid w:val="00BA6584"/>
    <w:rsid w:val="00BB6312"/>
    <w:rsid w:val="00BC39C2"/>
    <w:rsid w:val="00BC4D06"/>
    <w:rsid w:val="00BD05E1"/>
    <w:rsid w:val="00BD585E"/>
    <w:rsid w:val="00BD6919"/>
    <w:rsid w:val="00BE1EA7"/>
    <w:rsid w:val="00BE7489"/>
    <w:rsid w:val="00BF2E0D"/>
    <w:rsid w:val="00BF3927"/>
    <w:rsid w:val="00BF3F8B"/>
    <w:rsid w:val="00BF76DA"/>
    <w:rsid w:val="00C00CDB"/>
    <w:rsid w:val="00C07C7B"/>
    <w:rsid w:val="00C11BD8"/>
    <w:rsid w:val="00C16245"/>
    <w:rsid w:val="00C22DC5"/>
    <w:rsid w:val="00C24479"/>
    <w:rsid w:val="00C273F2"/>
    <w:rsid w:val="00C327CB"/>
    <w:rsid w:val="00C37B53"/>
    <w:rsid w:val="00C434EB"/>
    <w:rsid w:val="00C517D2"/>
    <w:rsid w:val="00C5772E"/>
    <w:rsid w:val="00C62B36"/>
    <w:rsid w:val="00C7012C"/>
    <w:rsid w:val="00C712EA"/>
    <w:rsid w:val="00C9728E"/>
    <w:rsid w:val="00CA217D"/>
    <w:rsid w:val="00CA3131"/>
    <w:rsid w:val="00CC09D4"/>
    <w:rsid w:val="00CC4F5F"/>
    <w:rsid w:val="00CC668D"/>
    <w:rsid w:val="00CC7832"/>
    <w:rsid w:val="00CD488E"/>
    <w:rsid w:val="00CE4B0B"/>
    <w:rsid w:val="00CF0C1C"/>
    <w:rsid w:val="00CF27FD"/>
    <w:rsid w:val="00CF5F12"/>
    <w:rsid w:val="00D00D8F"/>
    <w:rsid w:val="00D12869"/>
    <w:rsid w:val="00D14512"/>
    <w:rsid w:val="00D15ED6"/>
    <w:rsid w:val="00D21F3A"/>
    <w:rsid w:val="00D23808"/>
    <w:rsid w:val="00D3016A"/>
    <w:rsid w:val="00D361CE"/>
    <w:rsid w:val="00D417D2"/>
    <w:rsid w:val="00D42960"/>
    <w:rsid w:val="00D43BD7"/>
    <w:rsid w:val="00D4485B"/>
    <w:rsid w:val="00D46CCD"/>
    <w:rsid w:val="00D4708D"/>
    <w:rsid w:val="00D4744C"/>
    <w:rsid w:val="00D51046"/>
    <w:rsid w:val="00D521DE"/>
    <w:rsid w:val="00D5470B"/>
    <w:rsid w:val="00D63068"/>
    <w:rsid w:val="00D6498C"/>
    <w:rsid w:val="00D67BAF"/>
    <w:rsid w:val="00D76A70"/>
    <w:rsid w:val="00D83182"/>
    <w:rsid w:val="00D8521E"/>
    <w:rsid w:val="00D9291C"/>
    <w:rsid w:val="00D93A97"/>
    <w:rsid w:val="00DA189E"/>
    <w:rsid w:val="00DA5602"/>
    <w:rsid w:val="00DB1F64"/>
    <w:rsid w:val="00DB336E"/>
    <w:rsid w:val="00DC261A"/>
    <w:rsid w:val="00DC2F53"/>
    <w:rsid w:val="00DC5BAC"/>
    <w:rsid w:val="00DC6816"/>
    <w:rsid w:val="00DC76C2"/>
    <w:rsid w:val="00DD1CF2"/>
    <w:rsid w:val="00DE4484"/>
    <w:rsid w:val="00DF41B7"/>
    <w:rsid w:val="00DF4A4A"/>
    <w:rsid w:val="00DF583C"/>
    <w:rsid w:val="00E03C3F"/>
    <w:rsid w:val="00E06FD7"/>
    <w:rsid w:val="00E07417"/>
    <w:rsid w:val="00E24D45"/>
    <w:rsid w:val="00E33DB8"/>
    <w:rsid w:val="00E33EFF"/>
    <w:rsid w:val="00E34387"/>
    <w:rsid w:val="00E348BA"/>
    <w:rsid w:val="00E369FE"/>
    <w:rsid w:val="00E37C6F"/>
    <w:rsid w:val="00E42A87"/>
    <w:rsid w:val="00E475F8"/>
    <w:rsid w:val="00E5102E"/>
    <w:rsid w:val="00E5721C"/>
    <w:rsid w:val="00E619C6"/>
    <w:rsid w:val="00E65924"/>
    <w:rsid w:val="00E70CED"/>
    <w:rsid w:val="00E70E40"/>
    <w:rsid w:val="00E745A1"/>
    <w:rsid w:val="00E81529"/>
    <w:rsid w:val="00E83A13"/>
    <w:rsid w:val="00EB1151"/>
    <w:rsid w:val="00EB6FC5"/>
    <w:rsid w:val="00EC2356"/>
    <w:rsid w:val="00EC2582"/>
    <w:rsid w:val="00EC337C"/>
    <w:rsid w:val="00ED0CFF"/>
    <w:rsid w:val="00ED31D2"/>
    <w:rsid w:val="00EE0EAC"/>
    <w:rsid w:val="00EE3322"/>
    <w:rsid w:val="00EE33CB"/>
    <w:rsid w:val="00F0061A"/>
    <w:rsid w:val="00F02834"/>
    <w:rsid w:val="00F04EEB"/>
    <w:rsid w:val="00F05467"/>
    <w:rsid w:val="00F055D2"/>
    <w:rsid w:val="00F07CD7"/>
    <w:rsid w:val="00F127E9"/>
    <w:rsid w:val="00F14477"/>
    <w:rsid w:val="00F14B5D"/>
    <w:rsid w:val="00F23C05"/>
    <w:rsid w:val="00F259FC"/>
    <w:rsid w:val="00F313F4"/>
    <w:rsid w:val="00F36972"/>
    <w:rsid w:val="00F42426"/>
    <w:rsid w:val="00F44F01"/>
    <w:rsid w:val="00F456BC"/>
    <w:rsid w:val="00F50666"/>
    <w:rsid w:val="00F70731"/>
    <w:rsid w:val="00F70C9E"/>
    <w:rsid w:val="00F74A74"/>
    <w:rsid w:val="00F7572C"/>
    <w:rsid w:val="00F8382C"/>
    <w:rsid w:val="00F855D7"/>
    <w:rsid w:val="00F92035"/>
    <w:rsid w:val="00F92748"/>
    <w:rsid w:val="00FA4169"/>
    <w:rsid w:val="00FB0D41"/>
    <w:rsid w:val="00FB2030"/>
    <w:rsid w:val="00FD0E46"/>
    <w:rsid w:val="00FD1060"/>
    <w:rsid w:val="00FD1CF2"/>
    <w:rsid w:val="00FD3EDF"/>
    <w:rsid w:val="00FD793C"/>
    <w:rsid w:val="00FE0FD5"/>
    <w:rsid w:val="00FE20E6"/>
    <w:rsid w:val="00FE3E3B"/>
    <w:rsid w:val="00FE5878"/>
    <w:rsid w:val="00FF4032"/>
    <w:rsid w:val="00FF4A2E"/>
    <w:rsid w:val="00FF6469"/>
    <w:rsid w:val="00FF7E4A"/>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FE6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81529"/>
    <w:rPr>
      <w:sz w:val="24"/>
      <w:szCs w:val="24"/>
      <w:lang w:eastAsia="en-US"/>
    </w:rPr>
  </w:style>
  <w:style w:type="paragraph" w:styleId="Antrat1">
    <w:name w:val="heading 1"/>
    <w:basedOn w:val="prastasis"/>
    <w:next w:val="prastasis"/>
    <w:qFormat/>
    <w:rsid w:val="00A84C51"/>
    <w:pPr>
      <w:keepNext/>
      <w:jc w:val="center"/>
      <w:outlineLvl w:val="0"/>
    </w:pPr>
    <w:rPr>
      <w:b/>
      <w:bCs/>
      <w:caps/>
    </w:rPr>
  </w:style>
  <w:style w:type="paragraph" w:styleId="Antrat2">
    <w:name w:val="heading 2"/>
    <w:basedOn w:val="prastasis"/>
    <w:next w:val="prastasis"/>
    <w:qFormat/>
    <w:rsid w:val="00A84C51"/>
    <w:pPr>
      <w:keepNext/>
      <w:jc w:val="center"/>
      <w:outlineLvl w:val="1"/>
    </w:pPr>
    <w:rPr>
      <w:b/>
      <w:bCs/>
      <w:caps/>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84C51"/>
    <w:pPr>
      <w:tabs>
        <w:tab w:val="center" w:pos="4986"/>
        <w:tab w:val="right" w:pos="9972"/>
      </w:tabs>
    </w:pPr>
  </w:style>
  <w:style w:type="paragraph" w:styleId="Porat">
    <w:name w:val="footer"/>
    <w:basedOn w:val="prastasis"/>
    <w:link w:val="PoratDiagrama"/>
    <w:rsid w:val="00A84C51"/>
    <w:pPr>
      <w:tabs>
        <w:tab w:val="center" w:pos="4986"/>
        <w:tab w:val="right" w:pos="9972"/>
      </w:tabs>
    </w:pPr>
  </w:style>
  <w:style w:type="character" w:styleId="Puslapionumeris">
    <w:name w:val="page number"/>
    <w:basedOn w:val="Numatytasispastraiposriftas"/>
    <w:rsid w:val="00A84C51"/>
  </w:style>
  <w:style w:type="character" w:styleId="Hipersaitas">
    <w:name w:val="Hyperlink"/>
    <w:basedOn w:val="Numatytasispastraiposriftas"/>
    <w:rsid w:val="00A84C51"/>
    <w:rPr>
      <w:color w:val="0000FF"/>
      <w:u w:val="single"/>
    </w:rPr>
  </w:style>
  <w:style w:type="paragraph" w:styleId="Debesliotekstas">
    <w:name w:val="Balloon Text"/>
    <w:basedOn w:val="prastasis"/>
    <w:semiHidden/>
    <w:rsid w:val="00EC2356"/>
    <w:rPr>
      <w:rFonts w:ascii="Tahoma" w:hAnsi="Tahoma" w:cs="Tahoma"/>
      <w:sz w:val="16"/>
      <w:szCs w:val="16"/>
    </w:rPr>
  </w:style>
  <w:style w:type="character" w:customStyle="1" w:styleId="PoratDiagrama">
    <w:name w:val="Poraštė Diagrama"/>
    <w:basedOn w:val="Numatytasispastraiposriftas"/>
    <w:link w:val="Porat"/>
    <w:rsid w:val="00737E2D"/>
    <w:rPr>
      <w:sz w:val="24"/>
      <w:szCs w:val="24"/>
      <w:lang w:eastAsia="en-US"/>
    </w:rPr>
  </w:style>
  <w:style w:type="character" w:customStyle="1" w:styleId="Neapdorotaspaminjimas1">
    <w:name w:val="Neapdorotas paminėjimas1"/>
    <w:basedOn w:val="Numatytasispastraiposriftas"/>
    <w:uiPriority w:val="99"/>
    <w:semiHidden/>
    <w:unhideWhenUsed/>
    <w:rsid w:val="00A31E86"/>
    <w:rPr>
      <w:color w:val="605E5C"/>
      <w:shd w:val="clear" w:color="auto" w:fill="E1DFDD"/>
    </w:rPr>
  </w:style>
  <w:style w:type="character" w:styleId="Perirtashipersaitas">
    <w:name w:val="FollowedHyperlink"/>
    <w:basedOn w:val="Numatytasispastraiposriftas"/>
    <w:semiHidden/>
    <w:unhideWhenUsed/>
    <w:rsid w:val="00A31E86"/>
    <w:rPr>
      <w:color w:val="800080" w:themeColor="followedHyperlink"/>
      <w:u w:val="single"/>
    </w:rPr>
  </w:style>
  <w:style w:type="table" w:styleId="Lentelstinklelis">
    <w:name w:val="Table Grid"/>
    <w:basedOn w:val="prastojilentel"/>
    <w:rsid w:val="00D42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semiHidden/>
    <w:unhideWhenUsed/>
    <w:rsid w:val="00C7012C"/>
    <w:rPr>
      <w:sz w:val="16"/>
      <w:szCs w:val="16"/>
    </w:rPr>
  </w:style>
  <w:style w:type="paragraph" w:styleId="Komentarotekstas">
    <w:name w:val="annotation text"/>
    <w:basedOn w:val="prastasis"/>
    <w:link w:val="KomentarotekstasDiagrama"/>
    <w:unhideWhenUsed/>
    <w:rsid w:val="00C7012C"/>
    <w:rPr>
      <w:sz w:val="20"/>
      <w:szCs w:val="20"/>
    </w:rPr>
  </w:style>
  <w:style w:type="character" w:customStyle="1" w:styleId="KomentarotekstasDiagrama">
    <w:name w:val="Komentaro tekstas Diagrama"/>
    <w:basedOn w:val="Numatytasispastraiposriftas"/>
    <w:link w:val="Komentarotekstas"/>
    <w:rsid w:val="00C7012C"/>
    <w:rPr>
      <w:lang w:eastAsia="en-US"/>
    </w:rPr>
  </w:style>
  <w:style w:type="paragraph" w:styleId="Komentarotema">
    <w:name w:val="annotation subject"/>
    <w:basedOn w:val="Komentarotekstas"/>
    <w:next w:val="Komentarotekstas"/>
    <w:link w:val="KomentarotemaDiagrama"/>
    <w:semiHidden/>
    <w:unhideWhenUsed/>
    <w:rsid w:val="00C7012C"/>
    <w:rPr>
      <w:b/>
      <w:bCs/>
    </w:rPr>
  </w:style>
  <w:style w:type="character" w:customStyle="1" w:styleId="KomentarotemaDiagrama">
    <w:name w:val="Komentaro tema Diagrama"/>
    <w:basedOn w:val="KomentarotekstasDiagrama"/>
    <w:link w:val="Komentarotema"/>
    <w:semiHidden/>
    <w:rsid w:val="00C7012C"/>
    <w:rPr>
      <w:b/>
      <w:bCs/>
      <w:lang w:eastAsia="en-US"/>
    </w:rPr>
  </w:style>
  <w:style w:type="paragraph" w:styleId="Sraopastraipa">
    <w:name w:val="List Paragraph"/>
    <w:aliases w:val="Bullet List,Bullet1,Use Case List Paragraph,List Paragraph1,Body Bullet,Table Number Paragraph,Colorful List - Accent 11,List Paragraph 1,Ref,B1,Figure_name,bu1,bu1 + Before:  0 pt,After:  6 pt,Bullet for no #'s,Paragraph,lp1,Bullet 1"/>
    <w:basedOn w:val="prastasis"/>
    <w:link w:val="SraopastraipaDiagrama"/>
    <w:uiPriority w:val="34"/>
    <w:qFormat/>
    <w:rsid w:val="00104E2E"/>
    <w:pPr>
      <w:ind w:left="720"/>
      <w:contextualSpacing/>
    </w:pPr>
  </w:style>
  <w:style w:type="character" w:customStyle="1" w:styleId="Style2">
    <w:name w:val="Style2"/>
    <w:basedOn w:val="Numatytasispastraiposriftas"/>
    <w:uiPriority w:val="1"/>
    <w:rsid w:val="00D6498C"/>
    <w:rPr>
      <w:sz w:val="32"/>
    </w:rPr>
  </w:style>
  <w:style w:type="character" w:styleId="Vietosrezervavimoenklotekstas">
    <w:name w:val="Placeholder Text"/>
    <w:basedOn w:val="Numatytasispastraiposriftas"/>
    <w:uiPriority w:val="99"/>
    <w:rsid w:val="00B13D65"/>
    <w:rPr>
      <w:color w:val="808080"/>
    </w:rPr>
  </w:style>
  <w:style w:type="paragraph" w:styleId="Betarp">
    <w:name w:val="No Spacing"/>
    <w:uiPriority w:val="1"/>
    <w:qFormat/>
    <w:rsid w:val="00B13D65"/>
    <w:rPr>
      <w:rFonts w:ascii="Calibri" w:eastAsia="Calibri" w:hAnsi="Calibri"/>
      <w:sz w:val="22"/>
      <w:szCs w:val="22"/>
      <w:lang w:eastAsia="en-US"/>
    </w:rPr>
  </w:style>
  <w:style w:type="table" w:customStyle="1" w:styleId="Lentelstinklelis1">
    <w:name w:val="Lentelės tinklelis1"/>
    <w:basedOn w:val="prastojilentel"/>
    <w:next w:val="Lentelstinklelis"/>
    <w:rsid w:val="009E44AE"/>
    <w:rPr>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476256"/>
    <w:rPr>
      <w:sz w:val="24"/>
      <w:szCs w:val="24"/>
      <w:lang w:eastAsia="en-US"/>
    </w:rPr>
  </w:style>
  <w:style w:type="character" w:customStyle="1" w:styleId="SraopastraipaDiagrama">
    <w:name w:val="Sąrašo pastraipa Diagrama"/>
    <w:aliases w:val="Bullet List Diagrama,Bullet1 Diagrama,Use Case List Paragraph Diagrama,List Paragraph1 Diagrama,Body Bullet Diagrama,Table Number Paragraph Diagrama,Colorful List - Accent 11 Diagrama,List Paragraph 1 Diagrama,Ref Diagrama"/>
    <w:basedOn w:val="Numatytasispastraiposriftas"/>
    <w:link w:val="Sraopastraipa"/>
    <w:uiPriority w:val="34"/>
    <w:rsid w:val="0021231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802146">
      <w:bodyDiv w:val="1"/>
      <w:marLeft w:val="0"/>
      <w:marRight w:val="0"/>
      <w:marTop w:val="0"/>
      <w:marBottom w:val="0"/>
      <w:divBdr>
        <w:top w:val="none" w:sz="0" w:space="0" w:color="auto"/>
        <w:left w:val="none" w:sz="0" w:space="0" w:color="auto"/>
        <w:bottom w:val="none" w:sz="0" w:space="0" w:color="auto"/>
        <w:right w:val="none" w:sz="0" w:space="0" w:color="auto"/>
      </w:divBdr>
    </w:div>
    <w:div w:id="159778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D7EBE30A7F432F9AB1114CDC0B27A0"/>
        <w:category>
          <w:name w:val="Bendrosios nuostatos"/>
          <w:gallery w:val="placeholder"/>
        </w:category>
        <w:types>
          <w:type w:val="bbPlcHdr"/>
        </w:types>
        <w:behaviors>
          <w:behavior w:val="content"/>
        </w:behaviors>
        <w:guid w:val="{17F62492-AACD-4837-966A-2DF1151E6A27}"/>
      </w:docPartPr>
      <w:docPartBody>
        <w:p w:rsidR="00A20D39" w:rsidRDefault="00C66578" w:rsidP="00C66578">
          <w:pPr>
            <w:pStyle w:val="93D7EBE30A7F432F9AB1114CDC0B27A0"/>
          </w:pPr>
          <w:r>
            <w:rPr>
              <w:rStyle w:val="Vietosrezervavimoenklotekstas"/>
            </w:rPr>
            <w:t>Click here to enter a date.</w:t>
          </w:r>
        </w:p>
      </w:docPartBody>
    </w:docPart>
    <w:docPart>
      <w:docPartPr>
        <w:name w:val="313EC56AA2FD440FAB92ED675BD36BA0"/>
        <w:category>
          <w:name w:val="Bendrosios nuostatos"/>
          <w:gallery w:val="placeholder"/>
        </w:category>
        <w:types>
          <w:type w:val="bbPlcHdr"/>
        </w:types>
        <w:behaviors>
          <w:behavior w:val="content"/>
        </w:behaviors>
        <w:guid w:val="{930DD3CB-97DE-4BCB-96BE-0677BB5CE856}"/>
      </w:docPartPr>
      <w:docPartBody>
        <w:p w:rsidR="00A20D39" w:rsidRDefault="00C66578" w:rsidP="00C66578">
          <w:pPr>
            <w:pStyle w:val="313EC56AA2FD440FAB92ED675BD36BA0"/>
          </w:pPr>
          <w:r>
            <w:rPr>
              <w:rStyle w:val="Vietosrezervavimoenklotekstas"/>
            </w:rPr>
            <w:t>Click here to enter a date.</w:t>
          </w:r>
        </w:p>
      </w:docPartBody>
    </w:docPart>
    <w:docPart>
      <w:docPartPr>
        <w:name w:val="435C58746756410DA83672CD4E03AE07"/>
        <w:category>
          <w:name w:val="Bendrosios nuostatos"/>
          <w:gallery w:val="placeholder"/>
        </w:category>
        <w:types>
          <w:type w:val="bbPlcHdr"/>
        </w:types>
        <w:behaviors>
          <w:behavior w:val="content"/>
        </w:behaviors>
        <w:guid w:val="{067E5675-126D-453F-B1CD-FEF06E1314AE}"/>
      </w:docPartPr>
      <w:docPartBody>
        <w:p w:rsidR="006A5604" w:rsidRDefault="00651A88" w:rsidP="00651A88">
          <w:pPr>
            <w:pStyle w:val="435C58746756410DA83672CD4E03AE07"/>
          </w:pPr>
          <w:r>
            <w:rPr>
              <w:rStyle w:val="Vietosrezervavimoenklotekstas"/>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0DD"/>
    <w:rsid w:val="0001247F"/>
    <w:rsid w:val="00044A1C"/>
    <w:rsid w:val="00047C19"/>
    <w:rsid w:val="00061157"/>
    <w:rsid w:val="000624FF"/>
    <w:rsid w:val="000937FE"/>
    <w:rsid w:val="000A50C9"/>
    <w:rsid w:val="000A559A"/>
    <w:rsid w:val="000D24D4"/>
    <w:rsid w:val="000D6217"/>
    <w:rsid w:val="0014006D"/>
    <w:rsid w:val="001828CB"/>
    <w:rsid w:val="001C35A9"/>
    <w:rsid w:val="00237556"/>
    <w:rsid w:val="002C0686"/>
    <w:rsid w:val="002D0844"/>
    <w:rsid w:val="002F563A"/>
    <w:rsid w:val="00326F0E"/>
    <w:rsid w:val="0039303B"/>
    <w:rsid w:val="003B4EA2"/>
    <w:rsid w:val="004144A3"/>
    <w:rsid w:val="004160E7"/>
    <w:rsid w:val="0044018C"/>
    <w:rsid w:val="004416C6"/>
    <w:rsid w:val="00456E96"/>
    <w:rsid w:val="004C6221"/>
    <w:rsid w:val="004D038D"/>
    <w:rsid w:val="004F4E20"/>
    <w:rsid w:val="004F5AB2"/>
    <w:rsid w:val="005074B9"/>
    <w:rsid w:val="00563A5F"/>
    <w:rsid w:val="005C62E5"/>
    <w:rsid w:val="005E40DD"/>
    <w:rsid w:val="00601F4E"/>
    <w:rsid w:val="00627405"/>
    <w:rsid w:val="00651A88"/>
    <w:rsid w:val="006A5604"/>
    <w:rsid w:val="006B027B"/>
    <w:rsid w:val="006E6A2C"/>
    <w:rsid w:val="007219C1"/>
    <w:rsid w:val="00745C63"/>
    <w:rsid w:val="00753462"/>
    <w:rsid w:val="00772325"/>
    <w:rsid w:val="007A2FE0"/>
    <w:rsid w:val="007C6D1D"/>
    <w:rsid w:val="007D654E"/>
    <w:rsid w:val="00892FF4"/>
    <w:rsid w:val="008C0DC0"/>
    <w:rsid w:val="008F7B34"/>
    <w:rsid w:val="0090074D"/>
    <w:rsid w:val="00901A35"/>
    <w:rsid w:val="009B3BF0"/>
    <w:rsid w:val="009D5E5E"/>
    <w:rsid w:val="009F1BB4"/>
    <w:rsid w:val="00A20D39"/>
    <w:rsid w:val="00A254A2"/>
    <w:rsid w:val="00A63A3D"/>
    <w:rsid w:val="00AB2D54"/>
    <w:rsid w:val="00AB6ED4"/>
    <w:rsid w:val="00B14210"/>
    <w:rsid w:val="00B22ED6"/>
    <w:rsid w:val="00B23DC0"/>
    <w:rsid w:val="00B71F04"/>
    <w:rsid w:val="00B96656"/>
    <w:rsid w:val="00BA0A8E"/>
    <w:rsid w:val="00BE3364"/>
    <w:rsid w:val="00C2401D"/>
    <w:rsid w:val="00C250D7"/>
    <w:rsid w:val="00C327CB"/>
    <w:rsid w:val="00C53A68"/>
    <w:rsid w:val="00C66578"/>
    <w:rsid w:val="00C933A6"/>
    <w:rsid w:val="00CA5BB4"/>
    <w:rsid w:val="00CB4BD1"/>
    <w:rsid w:val="00CD139C"/>
    <w:rsid w:val="00CE2DA9"/>
    <w:rsid w:val="00CE44BE"/>
    <w:rsid w:val="00D008F3"/>
    <w:rsid w:val="00D0142D"/>
    <w:rsid w:val="00D04DFF"/>
    <w:rsid w:val="00D15ED6"/>
    <w:rsid w:val="00D20347"/>
    <w:rsid w:val="00D4356B"/>
    <w:rsid w:val="00D7162F"/>
    <w:rsid w:val="00DA189E"/>
    <w:rsid w:val="00DA599C"/>
    <w:rsid w:val="00DB4DB5"/>
    <w:rsid w:val="00DE4D10"/>
    <w:rsid w:val="00E44A86"/>
    <w:rsid w:val="00E522EB"/>
    <w:rsid w:val="00E60827"/>
    <w:rsid w:val="00E70E40"/>
    <w:rsid w:val="00EF6E0C"/>
    <w:rsid w:val="00F14477"/>
    <w:rsid w:val="00F370E5"/>
    <w:rsid w:val="00F55028"/>
    <w:rsid w:val="00F677F0"/>
    <w:rsid w:val="00F77BEF"/>
    <w:rsid w:val="00FC755C"/>
    <w:rsid w:val="00FE0D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rsid w:val="00651A88"/>
    <w:rPr>
      <w:color w:val="808080"/>
    </w:rPr>
  </w:style>
  <w:style w:type="paragraph" w:customStyle="1" w:styleId="435C58746756410DA83672CD4E03AE07">
    <w:name w:val="435C58746756410DA83672CD4E03AE07"/>
    <w:rsid w:val="00651A88"/>
    <w:pPr>
      <w:spacing w:line="278" w:lineRule="auto"/>
    </w:pPr>
    <w:rPr>
      <w:kern w:val="2"/>
      <w:sz w:val="24"/>
      <w:szCs w:val="24"/>
      <w14:ligatures w14:val="standardContextual"/>
    </w:rPr>
  </w:style>
  <w:style w:type="paragraph" w:customStyle="1" w:styleId="93D7EBE30A7F432F9AB1114CDC0B27A0">
    <w:name w:val="93D7EBE30A7F432F9AB1114CDC0B27A0"/>
    <w:rsid w:val="00C66578"/>
    <w:pPr>
      <w:spacing w:line="278" w:lineRule="auto"/>
    </w:pPr>
    <w:rPr>
      <w:kern w:val="2"/>
      <w:sz w:val="24"/>
      <w:szCs w:val="24"/>
      <w14:ligatures w14:val="standardContextual"/>
    </w:rPr>
  </w:style>
  <w:style w:type="paragraph" w:customStyle="1" w:styleId="313EC56AA2FD440FAB92ED675BD36BA0">
    <w:name w:val="313EC56AA2FD440FAB92ED675BD36BA0"/>
    <w:rsid w:val="00C6657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7528F-46B5-48BE-AD3F-F6BB0BEE4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11221</Words>
  <Characters>6397</Characters>
  <Application>Microsoft Office Word</Application>
  <DocSecurity>0</DocSecurity>
  <Lines>53</Lines>
  <Paragraphs>35</Paragraphs>
  <ScaleCrop>false</ScaleCrop>
  <Company/>
  <LinksUpToDate>false</LinksUpToDate>
  <CharactersWithSpaces>17583</CharactersWithSpaces>
  <SharedDoc>false</SharedDoc>
  <HLinks>
    <vt:vector size="6" baseType="variant">
      <vt:variant>
        <vt:i4>5308539</vt:i4>
      </vt:variant>
      <vt:variant>
        <vt:i4>6</vt:i4>
      </vt:variant>
      <vt:variant>
        <vt:i4>0</vt:i4>
      </vt:variant>
      <vt:variant>
        <vt:i4>5</vt:i4>
      </vt:variant>
      <vt:variant>
        <vt:lpwstr>mailto:vvkt@vvkt.lt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2026-07-29T10:42:00Z</dcterms:created>
  <dcterms:modified xsi:type="dcterms:W3CDTF">2026-07-31T05:18:00Z</dcterms:modified>
</cp:coreProperties>
</file>