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E5EB3" w14:textId="1955ADE3" w:rsidR="005F7602" w:rsidRPr="00334F18" w:rsidRDefault="005F7602" w:rsidP="002946C7">
      <w:pPr>
        <w:ind w:left="5529"/>
      </w:pPr>
    </w:p>
    <w:p w14:paraId="12FA4B9E" w14:textId="39AA3336" w:rsidR="001B3C5B" w:rsidRPr="00334F18" w:rsidRDefault="00DC261A" w:rsidP="001B3C5B">
      <w:pPr>
        <w:ind w:left="6096"/>
      </w:pPr>
      <w:bookmarkStart w:id="0" w:name="_Hlk189565243"/>
      <w:r w:rsidRPr="00334F18">
        <w:t>PATVIRTINTA</w:t>
      </w:r>
    </w:p>
    <w:p w14:paraId="7206970B" w14:textId="70E9BD2E" w:rsidR="004C263A" w:rsidRPr="00334F18" w:rsidRDefault="001B3C5B" w:rsidP="001B3C5B">
      <w:pPr>
        <w:ind w:left="6096"/>
      </w:pPr>
      <w:r w:rsidRPr="00334F18">
        <w:t>Valstybinės vaistų kontrolės tarnybos prie Lietuvos Respublikos sveikatos apsaugos ministerijos viršininko 2021 m</w:t>
      </w:r>
      <w:r w:rsidR="004C263A" w:rsidRPr="00334F18">
        <w:t xml:space="preserve">. lapkričio 12 </w:t>
      </w:r>
      <w:r w:rsidRPr="00334F18">
        <w:t>d. įsakymu Nr.</w:t>
      </w:r>
      <w:r w:rsidR="004C263A" w:rsidRPr="00334F18">
        <w:t xml:space="preserve"> (1.72E)1A-1418</w:t>
      </w:r>
    </w:p>
    <w:p w14:paraId="5B219AA6" w14:textId="3A5D6CB4" w:rsidR="001B3C5B" w:rsidRPr="00334F18" w:rsidRDefault="004C263A" w:rsidP="001B3C5B">
      <w:pPr>
        <w:ind w:left="6096"/>
      </w:pPr>
      <w:r w:rsidRPr="00334F18">
        <w:t>(Valstybinės vaistų kontrolės tarnybos prie Lietuvos Respublikos sveikatos apsaugos ministerijos viršininko 202</w:t>
      </w:r>
      <w:r w:rsidR="00A2310D" w:rsidRPr="00334F18">
        <w:t>5</w:t>
      </w:r>
      <w:r w:rsidRPr="00334F18">
        <w:t xml:space="preserve"> m.                         d. įsakymo Nr.                    redakcija)</w:t>
      </w:r>
    </w:p>
    <w:p w14:paraId="3336BD74" w14:textId="77777777" w:rsidR="001B3C5B" w:rsidRPr="00334F18" w:rsidRDefault="001B3C5B" w:rsidP="00FA4169"/>
    <w:bookmarkEnd w:id="0"/>
    <w:p w14:paraId="77AFB67E" w14:textId="0FB133A2" w:rsidR="00613501" w:rsidRPr="00334F18" w:rsidRDefault="002F0E4F" w:rsidP="003B211A">
      <w:pPr>
        <w:jc w:val="center"/>
        <w:rPr>
          <w:b/>
          <w:bCs/>
          <w:caps/>
        </w:rPr>
      </w:pPr>
      <w:r w:rsidRPr="00334F18">
        <w:rPr>
          <w:b/>
        </w:rPr>
        <w:t xml:space="preserve">REKOMENDACIJA DĖL VAISTINIO PREPARATO </w:t>
      </w:r>
      <w:r w:rsidRPr="00334F18">
        <w:rPr>
          <w:b/>
          <w:bCs/>
          <w:caps/>
        </w:rPr>
        <w:t>Lietuvos Respublikos Sveikatos apsaugos ministerijos vaistinių preparatų ir medicinos pagalbos priemonių kompensavimo komisijai</w:t>
      </w:r>
    </w:p>
    <w:p w14:paraId="34E4395D" w14:textId="15FB10DF" w:rsidR="00B13D65" w:rsidRPr="00334F18" w:rsidRDefault="00B13D65" w:rsidP="003B211A">
      <w:pPr>
        <w:jc w:val="center"/>
        <w:rPr>
          <w:b/>
        </w:rPr>
      </w:pPr>
    </w:p>
    <w:p w14:paraId="7C8440D4" w14:textId="7185D031" w:rsidR="00FE03BC" w:rsidRPr="00603B3A" w:rsidRDefault="00FE03BC" w:rsidP="00FE03BC">
      <w:pPr>
        <w:jc w:val="center"/>
        <w:rPr>
          <w:b/>
        </w:rPr>
      </w:pPr>
      <w:r w:rsidRPr="00E53F32">
        <w:rPr>
          <w:b/>
          <w:bCs/>
          <w:lang w:eastAsia="lt-LT"/>
        </w:rPr>
        <w:t>Kisu</w:t>
      </w:r>
      <w:r>
        <w:rPr>
          <w:b/>
          <w:bCs/>
          <w:lang w:eastAsia="lt-LT"/>
        </w:rPr>
        <w:t>n</w:t>
      </w:r>
      <w:r w:rsidRPr="00E53F32">
        <w:rPr>
          <w:b/>
          <w:bCs/>
          <w:lang w:eastAsia="lt-LT"/>
        </w:rPr>
        <w:t>la</w:t>
      </w:r>
      <w:r>
        <w:rPr>
          <w:b/>
        </w:rPr>
        <w:t xml:space="preserve"> </w:t>
      </w:r>
      <w:r w:rsidRPr="00B01A39">
        <w:rPr>
          <w:b/>
        </w:rPr>
        <w:t>350 mg</w:t>
      </w:r>
      <w:r>
        <w:rPr>
          <w:b/>
        </w:rPr>
        <w:t xml:space="preserve"> k</w:t>
      </w:r>
      <w:r w:rsidRPr="00CE40F8">
        <w:rPr>
          <w:b/>
        </w:rPr>
        <w:t>oncentratas infuziniam tirpalui</w:t>
      </w:r>
    </w:p>
    <w:p w14:paraId="78B7F062" w14:textId="77777777" w:rsidR="00FE03BC" w:rsidRPr="00603B3A" w:rsidRDefault="00FE03BC" w:rsidP="00FE03BC">
      <w:pPr>
        <w:jc w:val="center"/>
      </w:pPr>
    </w:p>
    <w:p w14:paraId="438DEB0B" w14:textId="77777777" w:rsidR="00FE03BC" w:rsidRDefault="00FE03BC" w:rsidP="00FE03BC">
      <w:pPr>
        <w:jc w:val="center"/>
        <w:rPr>
          <w:b/>
        </w:rPr>
      </w:pPr>
      <w:r w:rsidRPr="00E53F32">
        <w:rPr>
          <w:b/>
        </w:rPr>
        <w:t>Donanemabas</w:t>
      </w:r>
    </w:p>
    <w:p w14:paraId="367EE02F" w14:textId="77777777" w:rsidR="00FE03BC" w:rsidRPr="00603B3A" w:rsidRDefault="00FE03BC" w:rsidP="00FE03BC">
      <w:pPr>
        <w:jc w:val="center"/>
      </w:pPr>
    </w:p>
    <w:p w14:paraId="3C6B4716" w14:textId="59BC376B" w:rsidR="00FE03BC" w:rsidRPr="00603B3A" w:rsidRDefault="00FE03BC" w:rsidP="00FE03BC">
      <w:pPr>
        <w:jc w:val="center"/>
        <w:rPr>
          <w:b/>
        </w:rPr>
      </w:pPr>
      <w:r w:rsidRPr="00603B3A">
        <w:rPr>
          <w:b/>
        </w:rPr>
        <w:t>Paraiškos numeris</w:t>
      </w:r>
      <w:r>
        <w:rPr>
          <w:b/>
        </w:rPr>
        <w:t xml:space="preserve"> STV</w:t>
      </w:r>
      <w:r w:rsidR="002D7A2D">
        <w:rPr>
          <w:b/>
        </w:rPr>
        <w:t>-</w:t>
      </w:r>
      <w:r>
        <w:rPr>
          <w:b/>
        </w:rPr>
        <w:t>278</w:t>
      </w:r>
    </w:p>
    <w:p w14:paraId="2AA3B0E4" w14:textId="77777777" w:rsidR="002C29D1" w:rsidRDefault="002C29D1" w:rsidP="003B211A">
      <w:pPr>
        <w:jc w:val="center"/>
        <w:rPr>
          <w:b/>
        </w:rPr>
      </w:pPr>
    </w:p>
    <w:p w14:paraId="1992D26F" w14:textId="77777777" w:rsidR="002C29D1" w:rsidRPr="00334F18" w:rsidRDefault="002C29D1" w:rsidP="003B211A">
      <w:pPr>
        <w:jc w:val="center"/>
        <w:rPr>
          <w:b/>
        </w:rPr>
      </w:pPr>
    </w:p>
    <w:p w14:paraId="78C89D1C" w14:textId="0DEFFAA5" w:rsidR="00D4485B" w:rsidRPr="00334F18" w:rsidRDefault="00B13D65" w:rsidP="00952404">
      <w:pPr>
        <w:pStyle w:val="Sraopastraipa"/>
        <w:numPr>
          <w:ilvl w:val="0"/>
          <w:numId w:val="12"/>
        </w:numPr>
        <w:tabs>
          <w:tab w:val="left" w:pos="567"/>
        </w:tabs>
        <w:ind w:left="567" w:hanging="567"/>
        <w:jc w:val="center"/>
        <w:rPr>
          <w:b/>
          <w:bCs/>
          <w:caps/>
        </w:rPr>
      </w:pPr>
      <w:r w:rsidRPr="00334F18">
        <w:rPr>
          <w:b/>
          <w:bCs/>
          <w:caps/>
        </w:rPr>
        <w:t>Bendroji dalis</w:t>
      </w:r>
    </w:p>
    <w:p w14:paraId="04A7C7A7" w14:textId="77777777" w:rsidR="00B13D65" w:rsidRPr="00334F18" w:rsidRDefault="00B13D65" w:rsidP="00E03C3F">
      <w:pPr>
        <w:pStyle w:val="Sraopastraipa"/>
        <w:tabs>
          <w:tab w:val="left" w:pos="284"/>
        </w:tabs>
        <w:ind w:left="0"/>
        <w:rPr>
          <w:b/>
          <w:bCs/>
          <w:caps/>
        </w:rPr>
      </w:pPr>
    </w:p>
    <w:tbl>
      <w:tblPr>
        <w:tblStyle w:val="Lentelstinklelis"/>
        <w:tblW w:w="9493" w:type="dxa"/>
        <w:tblLook w:val="04A0" w:firstRow="1" w:lastRow="0" w:firstColumn="1" w:lastColumn="0" w:noHBand="0" w:noVBand="1"/>
      </w:tblPr>
      <w:tblGrid>
        <w:gridCol w:w="632"/>
        <w:gridCol w:w="3899"/>
        <w:gridCol w:w="4962"/>
      </w:tblGrid>
      <w:tr w:rsidR="00FD2BE4" w:rsidRPr="00334F18" w14:paraId="16A7BC7B" w14:textId="77777777" w:rsidTr="003F3FFF">
        <w:trPr>
          <w:trHeight w:val="538"/>
        </w:trPr>
        <w:tc>
          <w:tcPr>
            <w:tcW w:w="632" w:type="dxa"/>
          </w:tcPr>
          <w:p w14:paraId="4572808D" w14:textId="77777777" w:rsidR="00FD2BE4" w:rsidRPr="00334F18" w:rsidRDefault="00FD2BE4" w:rsidP="00FD2BE4">
            <w:pPr>
              <w:rPr>
                <w:rFonts w:eastAsia="Arial"/>
                <w:b/>
                <w:bCs/>
              </w:rPr>
            </w:pPr>
            <w:r w:rsidRPr="00334F18">
              <w:rPr>
                <w:rFonts w:eastAsia="Arial"/>
                <w:b/>
                <w:bCs/>
              </w:rPr>
              <w:t>1.1</w:t>
            </w:r>
          </w:p>
        </w:tc>
        <w:tc>
          <w:tcPr>
            <w:tcW w:w="3899" w:type="dxa"/>
          </w:tcPr>
          <w:p w14:paraId="54BA6EB3" w14:textId="77777777" w:rsidR="00FD2BE4" w:rsidRPr="00334F18" w:rsidRDefault="00FD2BE4" w:rsidP="00FD2BE4">
            <w:pPr>
              <w:rPr>
                <w:rFonts w:eastAsia="Arial"/>
                <w:b/>
                <w:bCs/>
              </w:rPr>
            </w:pPr>
            <w:r w:rsidRPr="00334F18">
              <w:rPr>
                <w:rFonts w:eastAsia="Arial"/>
                <w:b/>
                <w:bCs/>
              </w:rPr>
              <w:t>Pareiškėjas/ pareiškėjo atstovas</w:t>
            </w:r>
          </w:p>
        </w:tc>
        <w:tc>
          <w:tcPr>
            <w:tcW w:w="4962" w:type="dxa"/>
          </w:tcPr>
          <w:p w14:paraId="0F359BD4" w14:textId="3CB8D140" w:rsidR="00FD2BE4" w:rsidRPr="00334F18" w:rsidRDefault="00FD2BE4" w:rsidP="00FD2BE4">
            <w:pPr>
              <w:rPr>
                <w:rFonts w:eastAsia="Arial"/>
              </w:rPr>
            </w:pPr>
            <w:r w:rsidRPr="00C77921">
              <w:t>UAB Eli Lilly Lietuva</w:t>
            </w:r>
          </w:p>
        </w:tc>
      </w:tr>
      <w:tr w:rsidR="00FD2BE4" w:rsidRPr="00334F18" w14:paraId="101EA148" w14:textId="77777777" w:rsidTr="003F3FFF">
        <w:trPr>
          <w:trHeight w:val="538"/>
        </w:trPr>
        <w:tc>
          <w:tcPr>
            <w:tcW w:w="632" w:type="dxa"/>
          </w:tcPr>
          <w:p w14:paraId="3BF67175" w14:textId="77777777" w:rsidR="00FD2BE4" w:rsidRPr="00334F18" w:rsidRDefault="00FD2BE4" w:rsidP="00FD2BE4">
            <w:pPr>
              <w:rPr>
                <w:rFonts w:eastAsia="Arial"/>
                <w:b/>
                <w:bCs/>
              </w:rPr>
            </w:pPr>
            <w:r w:rsidRPr="00334F18">
              <w:rPr>
                <w:rFonts w:eastAsia="Arial"/>
                <w:b/>
                <w:bCs/>
              </w:rPr>
              <w:t>1.2</w:t>
            </w:r>
          </w:p>
        </w:tc>
        <w:tc>
          <w:tcPr>
            <w:tcW w:w="3899" w:type="dxa"/>
          </w:tcPr>
          <w:p w14:paraId="786B66DF" w14:textId="77777777" w:rsidR="00FD2BE4" w:rsidRPr="00334F18" w:rsidRDefault="00FD2BE4" w:rsidP="00FD2BE4">
            <w:pPr>
              <w:rPr>
                <w:b/>
                <w:bCs/>
                <w:lang w:eastAsia="lt-LT"/>
              </w:rPr>
            </w:pPr>
            <w:r w:rsidRPr="00334F18">
              <w:rPr>
                <w:b/>
                <w:bCs/>
                <w:lang w:eastAsia="lt-LT"/>
              </w:rPr>
              <w:t xml:space="preserve">Vaistinio preparato registracijos data </w:t>
            </w:r>
          </w:p>
          <w:p w14:paraId="4B568341" w14:textId="77777777" w:rsidR="00FD2BE4" w:rsidRPr="00334F18" w:rsidRDefault="00FD2BE4" w:rsidP="00FD2BE4">
            <w:pPr>
              <w:rPr>
                <w:b/>
                <w:bCs/>
                <w:lang w:eastAsia="lt-LT"/>
              </w:rPr>
            </w:pPr>
          </w:p>
        </w:tc>
        <w:tc>
          <w:tcPr>
            <w:tcW w:w="4962" w:type="dxa"/>
          </w:tcPr>
          <w:p w14:paraId="50F63366" w14:textId="52612CD1" w:rsidR="00FD2BE4" w:rsidRPr="00334F18" w:rsidRDefault="00000000" w:rsidP="00FD2BE4">
            <w:pPr>
              <w:rPr>
                <w:rStyle w:val="Style2"/>
              </w:rPr>
            </w:pPr>
            <w:sdt>
              <w:sdtPr>
                <w:rPr>
                  <w:sz w:val="32"/>
                </w:rPr>
                <w:alias w:val="Nurodykite konkrečią dieną"/>
                <w:tag w:val="Nurodykite pradžios datą"/>
                <w:id w:val="1772196685"/>
                <w:placeholder>
                  <w:docPart w:val="7F5300591C4A497AB508201A2BDF9D74"/>
                </w:placeholder>
                <w15:color w:val="FFCC99"/>
                <w:date w:fullDate="2025-09-24T00:00:00Z">
                  <w:dateFormat w:val="yyyy 'm.' MMMM d 'd.'"/>
                  <w:lid w:val="lt-LT"/>
                  <w:storeMappedDataAs w:val="dateTime"/>
                  <w:calendar w:val="gregorian"/>
                </w:date>
              </w:sdtPr>
              <w:sdtContent>
                <w:r w:rsidR="00FD2BE4">
                  <w:t>2025 m. rugsėjo 24 d.</w:t>
                </w:r>
              </w:sdtContent>
            </w:sdt>
          </w:p>
        </w:tc>
      </w:tr>
      <w:tr w:rsidR="00FD2BE4" w:rsidRPr="00334F18" w14:paraId="3D70E0FA" w14:textId="77777777" w:rsidTr="001F115E">
        <w:trPr>
          <w:trHeight w:val="1643"/>
        </w:trPr>
        <w:tc>
          <w:tcPr>
            <w:tcW w:w="632" w:type="dxa"/>
          </w:tcPr>
          <w:p w14:paraId="021DF6BD" w14:textId="77777777" w:rsidR="00FD2BE4" w:rsidRPr="00334F18" w:rsidRDefault="00FD2BE4" w:rsidP="00FD2BE4">
            <w:pPr>
              <w:rPr>
                <w:rFonts w:eastAsia="Arial"/>
                <w:b/>
                <w:bCs/>
              </w:rPr>
            </w:pPr>
            <w:r w:rsidRPr="00334F18">
              <w:rPr>
                <w:rFonts w:eastAsia="Arial"/>
                <w:b/>
                <w:bCs/>
              </w:rPr>
              <w:t>1.3</w:t>
            </w:r>
          </w:p>
        </w:tc>
        <w:tc>
          <w:tcPr>
            <w:tcW w:w="3899" w:type="dxa"/>
          </w:tcPr>
          <w:p w14:paraId="528F713F" w14:textId="77777777" w:rsidR="00FD2BE4" w:rsidRPr="00334F18" w:rsidRDefault="00FD2BE4" w:rsidP="00FD2BE4">
            <w:pPr>
              <w:pStyle w:val="Betarp"/>
              <w:rPr>
                <w:rFonts w:ascii="Times New Roman" w:hAnsi="Times New Roman"/>
                <w:b/>
                <w:sz w:val="24"/>
                <w:szCs w:val="24"/>
                <w:shd w:val="clear" w:color="auto" w:fill="FFFFFF"/>
              </w:rPr>
            </w:pPr>
            <w:r w:rsidRPr="00334F18">
              <w:rPr>
                <w:rFonts w:ascii="Times New Roman" w:hAnsi="Times New Roman"/>
                <w:b/>
                <w:sz w:val="24"/>
                <w:szCs w:val="24"/>
              </w:rPr>
              <w:t xml:space="preserve">Vaistinio preparato </w:t>
            </w:r>
            <w:r w:rsidRPr="00334F18">
              <w:rPr>
                <w:rFonts w:ascii="Times New Roman" w:hAnsi="Times New Roman"/>
                <w:b/>
                <w:sz w:val="24"/>
                <w:szCs w:val="24"/>
                <w:shd w:val="clear" w:color="auto" w:fill="FFFFFF"/>
              </w:rPr>
              <w:t>registracijos teisinis pagrindas</w:t>
            </w:r>
          </w:p>
          <w:p w14:paraId="63F86DC1" w14:textId="77777777" w:rsidR="00FD2BE4" w:rsidRPr="00334F18" w:rsidRDefault="00FD2BE4" w:rsidP="00FD2BE4">
            <w:pPr>
              <w:pStyle w:val="Betarp"/>
              <w:rPr>
                <w:rFonts w:ascii="Times New Roman" w:hAnsi="Times New Roman"/>
                <w:b/>
                <w:bCs/>
                <w:sz w:val="24"/>
                <w:szCs w:val="24"/>
                <w:lang w:eastAsia="lt-LT"/>
              </w:rPr>
            </w:pPr>
            <w:r w:rsidRPr="00334F18">
              <w:rPr>
                <w:rFonts w:ascii="Times New Roman" w:hAnsi="Times New Roman"/>
                <w:b/>
                <w:sz w:val="24"/>
                <w:szCs w:val="24"/>
                <w:shd w:val="clear" w:color="auto" w:fill="FFFFFF"/>
              </w:rPr>
              <w:t>(</w:t>
            </w:r>
            <w:r w:rsidRPr="00334F18">
              <w:rPr>
                <w:rFonts w:ascii="Times New Roman" w:hAnsi="Times New Roman"/>
                <w:b/>
                <w:sz w:val="24"/>
                <w:szCs w:val="24"/>
              </w:rPr>
              <w:t>Direktyvos 2001/83/EB str.)</w:t>
            </w:r>
          </w:p>
        </w:tc>
        <w:tc>
          <w:tcPr>
            <w:tcW w:w="4962" w:type="dxa"/>
          </w:tcPr>
          <w:p w14:paraId="67302D6F" w14:textId="77777777" w:rsidR="00FD2BE4" w:rsidRPr="00603B3A" w:rsidRDefault="00000000" w:rsidP="00FD2BE4">
            <w:pPr>
              <w:jc w:val="both"/>
            </w:pPr>
            <w:sdt>
              <w:sdtPr>
                <w:rPr>
                  <w:rStyle w:val="Style2"/>
                  <w:sz w:val="24"/>
                </w:rPr>
                <w:id w:val="526292078"/>
                <w15:color w:val="FFCC00"/>
                <w14:checkbox>
                  <w14:checked w14:val="1"/>
                  <w14:checkedState w14:val="2612" w14:font="MS Gothic"/>
                  <w14:uncheckedState w14:val="2610" w14:font="MS Gothic"/>
                </w14:checkbox>
              </w:sdtPr>
              <w:sdtContent>
                <w:r w:rsidR="00FD2BE4">
                  <w:rPr>
                    <w:rStyle w:val="Style2"/>
                    <w:rFonts w:ascii="MS Gothic" w:eastAsia="MS Gothic" w:hAnsi="MS Gothic" w:hint="eastAsia"/>
                    <w:sz w:val="24"/>
                  </w:rPr>
                  <w:t>☒</w:t>
                </w:r>
              </w:sdtContent>
            </w:sdt>
            <w:r w:rsidR="00FD2BE4" w:rsidRPr="00603B3A">
              <w:t>8.3 str. (pilna byla, pagrįsta savais tyrimais)</w:t>
            </w:r>
          </w:p>
          <w:p w14:paraId="3E4BE6B2" w14:textId="77777777" w:rsidR="00FD2BE4" w:rsidRPr="00603B3A" w:rsidRDefault="00000000" w:rsidP="00FD2BE4">
            <w:pPr>
              <w:jc w:val="both"/>
            </w:pPr>
            <w:sdt>
              <w:sdtPr>
                <w:rPr>
                  <w:rStyle w:val="Style2"/>
                  <w:sz w:val="24"/>
                </w:rPr>
                <w:id w:val="-1497953736"/>
                <w15:color w:val="FFCC00"/>
                <w14:checkbox>
                  <w14:checked w14:val="0"/>
                  <w14:checkedState w14:val="2612" w14:font="MS Gothic"/>
                  <w14:uncheckedState w14:val="2610" w14:font="MS Gothic"/>
                </w14:checkbox>
              </w:sdtPr>
              <w:sdtContent>
                <w:r w:rsidR="00FD2BE4" w:rsidRPr="00603B3A">
                  <w:rPr>
                    <w:rStyle w:val="Style2"/>
                    <w:rFonts w:ascii="Segoe UI Symbol" w:eastAsia="MS Gothic" w:hAnsi="Segoe UI Symbol" w:cs="Segoe UI Symbol"/>
                    <w:sz w:val="24"/>
                  </w:rPr>
                  <w:t>☐</w:t>
                </w:r>
              </w:sdtContent>
            </w:sdt>
            <w:r w:rsidR="00FD2BE4" w:rsidRPr="00603B3A">
              <w:t>10 a str. (pripažintas medicininis vartojimas)</w:t>
            </w:r>
          </w:p>
          <w:p w14:paraId="00DE1FAC" w14:textId="77777777" w:rsidR="00FD2BE4" w:rsidRPr="00603B3A" w:rsidRDefault="00000000" w:rsidP="00FD2BE4">
            <w:pPr>
              <w:jc w:val="both"/>
            </w:pPr>
            <w:sdt>
              <w:sdtPr>
                <w:rPr>
                  <w:rStyle w:val="Style2"/>
                  <w:sz w:val="24"/>
                </w:rPr>
                <w:id w:val="204142496"/>
                <w15:color w:val="FFCC00"/>
                <w14:checkbox>
                  <w14:checked w14:val="0"/>
                  <w14:checkedState w14:val="2612" w14:font="MS Gothic"/>
                  <w14:uncheckedState w14:val="2610" w14:font="MS Gothic"/>
                </w14:checkbox>
              </w:sdtPr>
              <w:sdtContent>
                <w:r w:rsidR="00FD2BE4" w:rsidRPr="00603B3A">
                  <w:rPr>
                    <w:rStyle w:val="Style2"/>
                    <w:rFonts w:ascii="Segoe UI Symbol" w:eastAsia="MS Gothic" w:hAnsi="Segoe UI Symbol" w:cs="Segoe UI Symbol"/>
                    <w:sz w:val="24"/>
                  </w:rPr>
                  <w:t>☐</w:t>
                </w:r>
              </w:sdtContent>
            </w:sdt>
            <w:r w:rsidR="00FD2BE4" w:rsidRPr="00603B3A">
              <w:t>10.1 str. (generinis)</w:t>
            </w:r>
          </w:p>
          <w:p w14:paraId="6471B743" w14:textId="77777777" w:rsidR="00FD2BE4" w:rsidRPr="00603B3A" w:rsidRDefault="00000000" w:rsidP="00FD2BE4">
            <w:pPr>
              <w:jc w:val="both"/>
            </w:pPr>
            <w:sdt>
              <w:sdtPr>
                <w:rPr>
                  <w:rStyle w:val="Style2"/>
                  <w:sz w:val="24"/>
                </w:rPr>
                <w:id w:val="820305101"/>
                <w15:color w:val="FFCC00"/>
                <w14:checkbox>
                  <w14:checked w14:val="0"/>
                  <w14:checkedState w14:val="2612" w14:font="MS Gothic"/>
                  <w14:uncheckedState w14:val="2610" w14:font="MS Gothic"/>
                </w14:checkbox>
              </w:sdtPr>
              <w:sdtContent>
                <w:r w:rsidR="00FD2BE4" w:rsidRPr="00603B3A">
                  <w:rPr>
                    <w:rStyle w:val="Style2"/>
                    <w:rFonts w:ascii="Segoe UI Symbol" w:eastAsia="MS Gothic" w:hAnsi="Segoe UI Symbol" w:cs="Segoe UI Symbol"/>
                    <w:sz w:val="24"/>
                  </w:rPr>
                  <w:t>☐</w:t>
                </w:r>
              </w:sdtContent>
            </w:sdt>
            <w:r w:rsidR="00FD2BE4" w:rsidRPr="00603B3A">
              <w:t>10.3 str. (hibridinis)</w:t>
            </w:r>
          </w:p>
          <w:p w14:paraId="799084DE" w14:textId="77777777" w:rsidR="00FD2BE4" w:rsidRPr="00603B3A" w:rsidRDefault="00000000" w:rsidP="00FD2BE4">
            <w:sdt>
              <w:sdtPr>
                <w:rPr>
                  <w:rStyle w:val="Style2"/>
                  <w:sz w:val="24"/>
                </w:rPr>
                <w:id w:val="-450176040"/>
                <w15:color w:val="FFCC00"/>
                <w14:checkbox>
                  <w14:checked w14:val="0"/>
                  <w14:checkedState w14:val="2612" w14:font="MS Gothic"/>
                  <w14:uncheckedState w14:val="2610" w14:font="MS Gothic"/>
                </w14:checkbox>
              </w:sdtPr>
              <w:sdtContent>
                <w:r w:rsidR="00FD2BE4" w:rsidRPr="00603B3A">
                  <w:rPr>
                    <w:rStyle w:val="Style2"/>
                    <w:rFonts w:ascii="Segoe UI Symbol" w:eastAsia="MS Gothic" w:hAnsi="Segoe UI Symbol" w:cs="Segoe UI Symbol"/>
                    <w:sz w:val="24"/>
                  </w:rPr>
                  <w:t>☐</w:t>
                </w:r>
              </w:sdtContent>
            </w:sdt>
            <w:r w:rsidR="00FD2BE4" w:rsidRPr="00603B3A">
              <w:t>10.4 str. (panašus biologinis)</w:t>
            </w:r>
          </w:p>
          <w:p w14:paraId="384623CC" w14:textId="77777777" w:rsidR="00FD2BE4" w:rsidRPr="00603B3A" w:rsidRDefault="00FD2BE4" w:rsidP="00FD2BE4">
            <w:pPr>
              <w:jc w:val="both"/>
            </w:pPr>
          </w:p>
          <w:p w14:paraId="7EDB4848" w14:textId="77777777" w:rsidR="00FD2BE4" w:rsidRPr="00334F18" w:rsidRDefault="00FD2BE4" w:rsidP="00FD2BE4">
            <w:pPr>
              <w:rPr>
                <w:rStyle w:val="Style2"/>
                <w:sz w:val="24"/>
              </w:rPr>
            </w:pPr>
          </w:p>
        </w:tc>
      </w:tr>
      <w:tr w:rsidR="00334F18" w:rsidRPr="00334F18" w14:paraId="31641941" w14:textId="77777777" w:rsidTr="003F3FFF">
        <w:trPr>
          <w:trHeight w:val="1011"/>
        </w:trPr>
        <w:tc>
          <w:tcPr>
            <w:tcW w:w="632" w:type="dxa"/>
          </w:tcPr>
          <w:p w14:paraId="2E73A32C" w14:textId="77777777" w:rsidR="00E70CED" w:rsidRPr="00334F18" w:rsidRDefault="00E70CED" w:rsidP="001F115E">
            <w:pPr>
              <w:rPr>
                <w:rFonts w:eastAsia="Arial"/>
                <w:b/>
                <w:bCs/>
              </w:rPr>
            </w:pPr>
            <w:r w:rsidRPr="00334F18">
              <w:rPr>
                <w:rFonts w:eastAsia="Arial"/>
                <w:b/>
              </w:rPr>
              <w:t>1.4</w:t>
            </w:r>
          </w:p>
        </w:tc>
        <w:tc>
          <w:tcPr>
            <w:tcW w:w="3899" w:type="dxa"/>
          </w:tcPr>
          <w:p w14:paraId="2547AC59" w14:textId="77777777" w:rsidR="00E70CED" w:rsidRPr="00334F18" w:rsidRDefault="00E70CED" w:rsidP="001F115E">
            <w:pPr>
              <w:tabs>
                <w:tab w:val="left" w:pos="284"/>
              </w:tabs>
              <w:rPr>
                <w:b/>
                <w:bCs/>
                <w:lang w:eastAsia="lt-LT"/>
              </w:rPr>
            </w:pPr>
            <w:r w:rsidRPr="00334F18">
              <w:rPr>
                <w:b/>
                <w:bCs/>
                <w:lang w:eastAsia="lt-LT"/>
              </w:rPr>
              <w:t>Ar vaistinis preparatas įrašytas į Bendrijos retųjų vaistinių preparatų registrą?</w:t>
            </w:r>
          </w:p>
        </w:tc>
        <w:tc>
          <w:tcPr>
            <w:tcW w:w="4962" w:type="dxa"/>
          </w:tcPr>
          <w:p w14:paraId="49AB923F" w14:textId="4E398391" w:rsidR="00E70CED" w:rsidRPr="00334F18" w:rsidRDefault="00000000" w:rsidP="001F115E">
            <w:sdt>
              <w:sdtPr>
                <w:rPr>
                  <w:rStyle w:val="Style2"/>
                  <w:sz w:val="24"/>
                </w:rPr>
                <w:id w:val="1190730465"/>
                <w15:color w:val="FFCC00"/>
                <w14:checkbox>
                  <w14:checked w14:val="0"/>
                  <w14:checkedState w14:val="2612" w14:font="MS Gothic"/>
                  <w14:uncheckedState w14:val="2610" w14:font="MS Gothic"/>
                </w14:checkbox>
              </w:sdtPr>
              <w:sdtContent>
                <w:r w:rsidR="00E70CED" w:rsidRPr="00334F18">
                  <w:rPr>
                    <w:rStyle w:val="Style2"/>
                    <w:rFonts w:ascii="Segoe UI Symbol" w:eastAsia="MS Gothic" w:hAnsi="Segoe UI Symbol" w:cs="Segoe UI Symbol"/>
                    <w:sz w:val="24"/>
                  </w:rPr>
                  <w:t>☐</w:t>
                </w:r>
              </w:sdtContent>
            </w:sdt>
            <w:r w:rsidR="00E70CED" w:rsidRPr="00334F18">
              <w:t xml:space="preserve"> Taip       </w:t>
            </w:r>
            <w:r w:rsidR="00E70CED" w:rsidRPr="00334F18">
              <w:rPr>
                <w:rStyle w:val="Style2"/>
                <w:sz w:val="24"/>
              </w:rPr>
              <w:t xml:space="preserve"> </w:t>
            </w:r>
            <w:sdt>
              <w:sdtPr>
                <w:rPr>
                  <w:rStyle w:val="Style2"/>
                  <w:sz w:val="24"/>
                </w:rPr>
                <w:id w:val="-1760283509"/>
                <w15:color w:val="FFCC00"/>
                <w14:checkbox>
                  <w14:checked w14:val="1"/>
                  <w14:checkedState w14:val="2612" w14:font="MS Gothic"/>
                  <w14:uncheckedState w14:val="2610" w14:font="MS Gothic"/>
                </w14:checkbox>
              </w:sdtPr>
              <w:sdtContent>
                <w:r w:rsidR="00321B0E">
                  <w:rPr>
                    <w:rStyle w:val="Style2"/>
                    <w:rFonts w:ascii="MS Gothic" w:eastAsia="MS Gothic" w:hAnsi="MS Gothic" w:hint="eastAsia"/>
                    <w:sz w:val="24"/>
                  </w:rPr>
                  <w:t>☒</w:t>
                </w:r>
              </w:sdtContent>
            </w:sdt>
            <w:r w:rsidR="00E70CED" w:rsidRPr="00334F18">
              <w:t xml:space="preserve"> Ne</w:t>
            </w:r>
          </w:p>
          <w:p w14:paraId="56165267" w14:textId="77777777" w:rsidR="00E70CED" w:rsidRPr="00334F18" w:rsidRDefault="00E70CED" w:rsidP="001F115E">
            <w:pPr>
              <w:rPr>
                <w:rFonts w:eastAsia="Arial"/>
              </w:rPr>
            </w:pPr>
            <w:r w:rsidRPr="00334F18">
              <w:t xml:space="preserve">Data: </w:t>
            </w:r>
            <w:sdt>
              <w:sdtPr>
                <w:alias w:val="Nurodykite konkrečią dieną"/>
                <w:tag w:val="Nurodykite pradžios datą"/>
                <w:id w:val="1784158105"/>
                <w:placeholder>
                  <w:docPart w:val="93D7EBE30A7F432F9AB1114CDC0B27A0"/>
                </w:placeholder>
                <w:showingPlcHdr/>
                <w15:color w:val="FFCC99"/>
                <w:date w:fullDate="2022-05-18T00:00:00Z">
                  <w:dateFormat w:val="yyyy 'm.' MMMM d 'd.'"/>
                  <w:lid w:val="lt-LT"/>
                  <w:storeMappedDataAs w:val="dateTime"/>
                  <w:calendar w:val="gregorian"/>
                </w:date>
              </w:sdtPr>
              <w:sdtContent>
                <w:r w:rsidRPr="00334F18">
                  <w:rPr>
                    <w:rStyle w:val="Vietosrezervavimoenklotekstas"/>
                    <w:color w:val="auto"/>
                  </w:rPr>
                  <w:t>Click here to enter a date.</w:t>
                </w:r>
              </w:sdtContent>
            </w:sdt>
            <w:r w:rsidRPr="00334F18">
              <w:t xml:space="preserve"> Nr.</w:t>
            </w:r>
          </w:p>
        </w:tc>
      </w:tr>
      <w:tr w:rsidR="00334F18" w:rsidRPr="00334F18" w14:paraId="5E0775EB" w14:textId="77777777" w:rsidTr="003F3FFF">
        <w:trPr>
          <w:trHeight w:val="1011"/>
        </w:trPr>
        <w:tc>
          <w:tcPr>
            <w:tcW w:w="632" w:type="dxa"/>
          </w:tcPr>
          <w:p w14:paraId="6829924D" w14:textId="77777777" w:rsidR="00E70CED" w:rsidRPr="00334F18" w:rsidRDefault="00E70CED" w:rsidP="001F115E">
            <w:pPr>
              <w:rPr>
                <w:rFonts w:eastAsia="Arial"/>
                <w:b/>
              </w:rPr>
            </w:pPr>
            <w:r w:rsidRPr="00334F18">
              <w:rPr>
                <w:rFonts w:eastAsia="Arial"/>
                <w:b/>
                <w:bCs/>
              </w:rPr>
              <w:t>1.5</w:t>
            </w:r>
          </w:p>
        </w:tc>
        <w:tc>
          <w:tcPr>
            <w:tcW w:w="3899" w:type="dxa"/>
          </w:tcPr>
          <w:p w14:paraId="1DDE7CF3" w14:textId="2FF7A402" w:rsidR="00E70CED" w:rsidRPr="00334F18" w:rsidRDefault="00E70CED" w:rsidP="001F115E">
            <w:pPr>
              <w:tabs>
                <w:tab w:val="left" w:pos="284"/>
              </w:tabs>
              <w:rPr>
                <w:b/>
                <w:bCs/>
                <w:lang w:eastAsia="lt-LT"/>
              </w:rPr>
            </w:pPr>
            <w:r w:rsidRPr="00334F18">
              <w:rPr>
                <w:b/>
                <w:bCs/>
                <w:lang w:eastAsia="lt-LT"/>
              </w:rPr>
              <w:t>Ar atliktas bendras klinikinis vertinimas</w:t>
            </w:r>
          </w:p>
          <w:p w14:paraId="0961228D" w14:textId="77777777" w:rsidR="00E70CED" w:rsidRPr="00334F18" w:rsidRDefault="00E70CED" w:rsidP="001F115E">
            <w:pPr>
              <w:tabs>
                <w:tab w:val="left" w:pos="284"/>
              </w:tabs>
              <w:rPr>
                <w:b/>
                <w:bCs/>
                <w:lang w:eastAsia="lt-LT"/>
              </w:rPr>
            </w:pPr>
            <w:r w:rsidRPr="00334F18">
              <w:rPr>
                <w:b/>
                <w:bCs/>
                <w:lang w:eastAsia="lt-LT"/>
              </w:rPr>
              <w:t>(Europos Parlamento ir Tarybos reglamentas (ES) 2021/2282)</w:t>
            </w:r>
          </w:p>
          <w:p w14:paraId="7B6C3C1B" w14:textId="77777777" w:rsidR="00336238" w:rsidRPr="00334F18" w:rsidRDefault="00336238" w:rsidP="001F115E">
            <w:pPr>
              <w:tabs>
                <w:tab w:val="left" w:pos="284"/>
              </w:tabs>
              <w:rPr>
                <w:b/>
                <w:bCs/>
                <w:lang w:eastAsia="lt-LT"/>
              </w:rPr>
            </w:pPr>
          </w:p>
        </w:tc>
        <w:tc>
          <w:tcPr>
            <w:tcW w:w="4962" w:type="dxa"/>
          </w:tcPr>
          <w:p w14:paraId="024AE31B" w14:textId="36423BBB" w:rsidR="00E70CED" w:rsidRPr="00334F18" w:rsidRDefault="00000000" w:rsidP="001F115E">
            <w:sdt>
              <w:sdtPr>
                <w:rPr>
                  <w:rStyle w:val="Style2"/>
                  <w:sz w:val="24"/>
                </w:rPr>
                <w:id w:val="-1171564470"/>
                <w15:color w:val="FFCC00"/>
                <w14:checkbox>
                  <w14:checked w14:val="0"/>
                  <w14:checkedState w14:val="2612" w14:font="MS Gothic"/>
                  <w14:uncheckedState w14:val="2610" w14:font="MS Gothic"/>
                </w14:checkbox>
              </w:sdtPr>
              <w:sdtContent>
                <w:r w:rsidR="00E70CED" w:rsidRPr="00334F18">
                  <w:rPr>
                    <w:rStyle w:val="Style2"/>
                    <w:rFonts w:ascii="Segoe UI Symbol" w:eastAsia="MS Gothic" w:hAnsi="Segoe UI Symbol" w:cs="Segoe UI Symbol"/>
                    <w:sz w:val="24"/>
                  </w:rPr>
                  <w:t>☐</w:t>
                </w:r>
              </w:sdtContent>
            </w:sdt>
            <w:r w:rsidR="00E70CED" w:rsidRPr="00334F18">
              <w:t xml:space="preserve"> Taip       </w:t>
            </w:r>
            <w:r w:rsidR="00E70CED" w:rsidRPr="00334F18">
              <w:rPr>
                <w:rStyle w:val="Style2"/>
                <w:sz w:val="24"/>
              </w:rPr>
              <w:t xml:space="preserve"> </w:t>
            </w:r>
            <w:sdt>
              <w:sdtPr>
                <w:rPr>
                  <w:rStyle w:val="Style2"/>
                  <w:sz w:val="24"/>
                </w:rPr>
                <w:id w:val="1448122567"/>
                <w15:color w:val="FFCC00"/>
                <w14:checkbox>
                  <w14:checked w14:val="1"/>
                  <w14:checkedState w14:val="2612" w14:font="MS Gothic"/>
                  <w14:uncheckedState w14:val="2610" w14:font="MS Gothic"/>
                </w14:checkbox>
              </w:sdtPr>
              <w:sdtContent>
                <w:r w:rsidR="00321B0E">
                  <w:rPr>
                    <w:rStyle w:val="Style2"/>
                    <w:rFonts w:ascii="MS Gothic" w:eastAsia="MS Gothic" w:hAnsi="MS Gothic" w:hint="eastAsia"/>
                    <w:sz w:val="24"/>
                  </w:rPr>
                  <w:t>☒</w:t>
                </w:r>
              </w:sdtContent>
            </w:sdt>
            <w:r w:rsidR="00E70CED" w:rsidRPr="00334F18">
              <w:t xml:space="preserve"> Ne</w:t>
            </w:r>
          </w:p>
          <w:p w14:paraId="0DF729B3" w14:textId="042856F7" w:rsidR="00E70CED" w:rsidRPr="00334F18" w:rsidRDefault="00E70CED" w:rsidP="001F115E">
            <w:pPr>
              <w:rPr>
                <w:rStyle w:val="Style2"/>
                <w:sz w:val="24"/>
              </w:rPr>
            </w:pPr>
            <w:r w:rsidRPr="00334F18">
              <w:t xml:space="preserve">Data: </w:t>
            </w:r>
            <w:sdt>
              <w:sdtPr>
                <w:alias w:val="Nurodykite konkrečią dieną"/>
                <w:tag w:val="Nurodykite pradžios datą"/>
                <w:id w:val="1516880001"/>
                <w:placeholder>
                  <w:docPart w:val="313EC56AA2FD440FAB92ED675BD36BA0"/>
                </w:placeholder>
                <w:showingPlcHdr/>
                <w15:color w:val="FFCC99"/>
                <w:date w:fullDate="2022-05-18T00:00:00Z">
                  <w:dateFormat w:val="yyyy 'm.' MMMM d 'd.'"/>
                  <w:lid w:val="lt-LT"/>
                  <w:storeMappedDataAs w:val="dateTime"/>
                  <w:calendar w:val="gregorian"/>
                </w:date>
              </w:sdtPr>
              <w:sdtContent>
                <w:r w:rsidRPr="00334F18">
                  <w:rPr>
                    <w:rStyle w:val="Vietosrezervavimoenklotekstas"/>
                    <w:color w:val="auto"/>
                  </w:rPr>
                  <w:t>Click here to enter a date.</w:t>
                </w:r>
              </w:sdtContent>
            </w:sdt>
            <w:r w:rsidRPr="00334F18">
              <w:t xml:space="preserve"> </w:t>
            </w:r>
          </w:p>
        </w:tc>
      </w:tr>
      <w:tr w:rsidR="00334F18" w:rsidRPr="00334F18" w14:paraId="15E36E93" w14:textId="77777777" w:rsidTr="003F3FFF">
        <w:trPr>
          <w:trHeight w:val="1278"/>
        </w:trPr>
        <w:tc>
          <w:tcPr>
            <w:tcW w:w="632" w:type="dxa"/>
          </w:tcPr>
          <w:p w14:paraId="5F43AA8F" w14:textId="77777777" w:rsidR="00E70CED" w:rsidRPr="00334F18" w:rsidRDefault="00E70CED" w:rsidP="001F115E">
            <w:pPr>
              <w:rPr>
                <w:rFonts w:eastAsia="Arial"/>
                <w:b/>
                <w:bCs/>
              </w:rPr>
            </w:pPr>
            <w:r w:rsidRPr="00334F18">
              <w:rPr>
                <w:rFonts w:eastAsia="Arial"/>
                <w:b/>
                <w:bCs/>
              </w:rPr>
              <w:t>1.6</w:t>
            </w:r>
          </w:p>
        </w:tc>
        <w:tc>
          <w:tcPr>
            <w:tcW w:w="3899" w:type="dxa"/>
          </w:tcPr>
          <w:p w14:paraId="41F32942" w14:textId="77777777" w:rsidR="00E70CED" w:rsidRPr="00334F18" w:rsidRDefault="00E70CED" w:rsidP="001F115E">
            <w:pPr>
              <w:rPr>
                <w:b/>
                <w:bCs/>
                <w:lang w:eastAsia="lt-LT"/>
              </w:rPr>
            </w:pPr>
            <w:r w:rsidRPr="00334F18">
              <w:rPr>
                <w:b/>
                <w:bCs/>
                <w:lang w:eastAsia="lt-LT"/>
              </w:rPr>
              <w:t xml:space="preserve">Teikiama kompensuoti terapinė indikacija </w:t>
            </w:r>
          </w:p>
          <w:p w14:paraId="2882A5BD" w14:textId="77777777" w:rsidR="00E70CED" w:rsidRPr="00334F18" w:rsidRDefault="00E70CED" w:rsidP="001F115E">
            <w:pPr>
              <w:rPr>
                <w:b/>
                <w:bCs/>
                <w:lang w:eastAsia="lt-LT"/>
              </w:rPr>
            </w:pPr>
          </w:p>
          <w:p w14:paraId="371D188E" w14:textId="77777777" w:rsidR="00E70CED" w:rsidRPr="00334F18" w:rsidRDefault="00E70CED" w:rsidP="001F115E">
            <w:pPr>
              <w:rPr>
                <w:b/>
                <w:bCs/>
                <w:lang w:eastAsia="lt-LT"/>
              </w:rPr>
            </w:pPr>
            <w:r w:rsidRPr="00334F18">
              <w:rPr>
                <w:b/>
                <w:bCs/>
                <w:lang w:eastAsia="lt-LT"/>
              </w:rPr>
              <w:t>Kodas pagal TLK-10 AM</w:t>
            </w:r>
          </w:p>
        </w:tc>
        <w:tc>
          <w:tcPr>
            <w:tcW w:w="4962" w:type="dxa"/>
          </w:tcPr>
          <w:p w14:paraId="39844AF6" w14:textId="77777777" w:rsidR="00EF13E9" w:rsidRPr="0074211F" w:rsidRDefault="00EF13E9" w:rsidP="00EF13E9">
            <w:pPr>
              <w:jc w:val="both"/>
            </w:pPr>
            <w:r>
              <w:t xml:space="preserve">Kisunla </w:t>
            </w:r>
            <w:r w:rsidRPr="0074211F">
              <w:t xml:space="preserve">skirtas gydyti suaugusius pacientus, kuriems kliniškai diagnozuotas lengvas kognityvinis sutrikimas ir lengva demencija dėl Alzheimerio ligos (ankstyvoji Alzheimerio liga), kurie nėra apolipoproteino ε4 (ApoE4) nešiotojai </w:t>
            </w:r>
            <w:r w:rsidRPr="0074211F">
              <w:lastRenderedPageBreak/>
              <w:t>arba yra heterozigotai su patvirtinta amiloido patologija</w:t>
            </w:r>
          </w:p>
          <w:p w14:paraId="233CA319" w14:textId="77777777" w:rsidR="00EF13E9" w:rsidRPr="00603B3A" w:rsidRDefault="00EF13E9" w:rsidP="00EF13E9">
            <w:pPr>
              <w:jc w:val="both"/>
            </w:pPr>
          </w:p>
          <w:p w14:paraId="594F15FA" w14:textId="77777777" w:rsidR="002D7A2D" w:rsidRPr="0074211F" w:rsidRDefault="002D7A2D" w:rsidP="002D7A2D">
            <w:pPr>
              <w:jc w:val="both"/>
            </w:pPr>
            <w:r w:rsidRPr="0074211F">
              <w:t>F00 – Demencija sergant Alzheimerio liga</w:t>
            </w:r>
          </w:p>
          <w:p w14:paraId="4A0AF63B" w14:textId="77777777" w:rsidR="002D7A2D" w:rsidRPr="00070C5B" w:rsidRDefault="002D7A2D" w:rsidP="002D7A2D">
            <w:pPr>
              <w:jc w:val="both"/>
            </w:pPr>
            <w:r w:rsidRPr="0074211F">
              <w:t>G30 – Alzheimerio liga</w:t>
            </w:r>
          </w:p>
          <w:p w14:paraId="10833DB8" w14:textId="7678DD02" w:rsidR="00E70CED" w:rsidRPr="00334F18" w:rsidRDefault="00E70CED" w:rsidP="001F115E"/>
        </w:tc>
      </w:tr>
      <w:tr w:rsidR="00334F18" w:rsidRPr="00334F18" w14:paraId="01C3C4F5" w14:textId="77777777" w:rsidTr="003F3FFF">
        <w:trPr>
          <w:trHeight w:val="378"/>
        </w:trPr>
        <w:tc>
          <w:tcPr>
            <w:tcW w:w="632" w:type="dxa"/>
          </w:tcPr>
          <w:p w14:paraId="5115AFC1" w14:textId="77777777" w:rsidR="00E70CED" w:rsidRPr="00334F18" w:rsidRDefault="00E70CED" w:rsidP="001F115E">
            <w:pPr>
              <w:rPr>
                <w:rFonts w:eastAsia="Arial"/>
                <w:b/>
                <w:bCs/>
              </w:rPr>
            </w:pPr>
            <w:r w:rsidRPr="00334F18">
              <w:rPr>
                <w:rFonts w:eastAsia="Arial"/>
                <w:b/>
                <w:bCs/>
              </w:rPr>
              <w:lastRenderedPageBreak/>
              <w:t>1.7</w:t>
            </w:r>
          </w:p>
        </w:tc>
        <w:tc>
          <w:tcPr>
            <w:tcW w:w="3899" w:type="dxa"/>
          </w:tcPr>
          <w:p w14:paraId="48045B5A" w14:textId="77777777" w:rsidR="00E70CED" w:rsidRPr="00334F18" w:rsidRDefault="00E70CED" w:rsidP="001F115E">
            <w:pPr>
              <w:rPr>
                <w:b/>
                <w:bCs/>
                <w:u w:val="single"/>
                <w:lang w:eastAsia="lt-LT"/>
              </w:rPr>
            </w:pPr>
            <w:r w:rsidRPr="00334F18">
              <w:rPr>
                <w:b/>
                <w:bCs/>
                <w:lang w:eastAsia="lt-LT"/>
              </w:rPr>
              <w:t xml:space="preserve">Teikiamos skyrimo sąlygos </w:t>
            </w:r>
          </w:p>
        </w:tc>
        <w:tc>
          <w:tcPr>
            <w:tcW w:w="4962" w:type="dxa"/>
          </w:tcPr>
          <w:p w14:paraId="7BC32428" w14:textId="62E0797E" w:rsidR="001F115E" w:rsidRPr="00334F18" w:rsidRDefault="001F115E" w:rsidP="001F115E">
            <w:r w:rsidRPr="00334F18">
              <w:t>Neteikiama</w:t>
            </w:r>
          </w:p>
          <w:p w14:paraId="6A31562C" w14:textId="77777777" w:rsidR="00E70CED" w:rsidRPr="00334F18" w:rsidRDefault="00E70CED" w:rsidP="001F115E"/>
        </w:tc>
      </w:tr>
      <w:tr w:rsidR="00334F18" w:rsidRPr="00334F18" w14:paraId="3C32C984" w14:textId="77777777" w:rsidTr="003F3FFF">
        <w:trPr>
          <w:trHeight w:val="378"/>
        </w:trPr>
        <w:tc>
          <w:tcPr>
            <w:tcW w:w="632" w:type="dxa"/>
          </w:tcPr>
          <w:p w14:paraId="4E679EDB" w14:textId="77777777" w:rsidR="00E70CED" w:rsidRPr="00334F18" w:rsidRDefault="00E70CED" w:rsidP="001F115E">
            <w:pPr>
              <w:rPr>
                <w:rFonts w:eastAsia="Arial"/>
                <w:b/>
                <w:bCs/>
              </w:rPr>
            </w:pPr>
            <w:r w:rsidRPr="00334F18">
              <w:rPr>
                <w:rFonts w:eastAsia="Arial"/>
                <w:b/>
                <w:bCs/>
              </w:rPr>
              <w:t>1.8</w:t>
            </w:r>
          </w:p>
        </w:tc>
        <w:tc>
          <w:tcPr>
            <w:tcW w:w="3899" w:type="dxa"/>
          </w:tcPr>
          <w:p w14:paraId="784605B5" w14:textId="3A924C79" w:rsidR="00E70CED" w:rsidRPr="00334F18" w:rsidRDefault="00E70CED" w:rsidP="001F115E">
            <w:pPr>
              <w:rPr>
                <w:b/>
                <w:bCs/>
                <w:lang w:eastAsia="lt-LT"/>
              </w:rPr>
            </w:pPr>
            <w:r w:rsidRPr="00334F18">
              <w:rPr>
                <w:b/>
                <w:bCs/>
                <w:lang w:eastAsia="lt-LT"/>
              </w:rPr>
              <w:t>Ekonominė analizė</w:t>
            </w:r>
          </w:p>
        </w:tc>
        <w:tc>
          <w:tcPr>
            <w:tcW w:w="4962" w:type="dxa"/>
          </w:tcPr>
          <w:p w14:paraId="3155F2E8" w14:textId="3541A498" w:rsidR="00E70CED" w:rsidRPr="00334F18" w:rsidRDefault="00000000" w:rsidP="001F115E">
            <w:sdt>
              <w:sdtPr>
                <w:rPr>
                  <w:rStyle w:val="Style2"/>
                  <w:sz w:val="24"/>
                </w:rPr>
                <w:id w:val="356323367"/>
                <w15:color w:val="FFCC00"/>
                <w14:checkbox>
                  <w14:checked w14:val="1"/>
                  <w14:checkedState w14:val="2612" w14:font="MS Gothic"/>
                  <w14:uncheckedState w14:val="2610" w14:font="MS Gothic"/>
                </w14:checkbox>
              </w:sdtPr>
              <w:sdtContent>
                <w:r w:rsidR="00EF13E9">
                  <w:rPr>
                    <w:rStyle w:val="Style2"/>
                    <w:rFonts w:ascii="MS Gothic" w:eastAsia="MS Gothic" w:hAnsi="MS Gothic" w:hint="eastAsia"/>
                    <w:sz w:val="24"/>
                  </w:rPr>
                  <w:t>☒</w:t>
                </w:r>
              </w:sdtContent>
            </w:sdt>
            <w:r w:rsidR="00E70CED" w:rsidRPr="00334F18">
              <w:t xml:space="preserve"> Kaštų naudingumo analizė</w:t>
            </w:r>
          </w:p>
          <w:p w14:paraId="49547563" w14:textId="77777777" w:rsidR="00E70CED" w:rsidRPr="00334F18" w:rsidRDefault="00000000" w:rsidP="001F115E">
            <w:sdt>
              <w:sdtPr>
                <w:rPr>
                  <w:rStyle w:val="Style2"/>
                  <w:sz w:val="24"/>
                </w:rPr>
                <w:id w:val="-250506580"/>
                <w15:color w:val="FFCC00"/>
                <w14:checkbox>
                  <w14:checked w14:val="0"/>
                  <w14:checkedState w14:val="2612" w14:font="MS Gothic"/>
                  <w14:uncheckedState w14:val="2610" w14:font="MS Gothic"/>
                </w14:checkbox>
              </w:sdtPr>
              <w:sdtContent>
                <w:r w:rsidR="00E70CED" w:rsidRPr="00334F18">
                  <w:rPr>
                    <w:rStyle w:val="Style2"/>
                    <w:rFonts w:ascii="Segoe UI Symbol" w:eastAsia="MS Gothic" w:hAnsi="Segoe UI Symbol" w:cs="Segoe UI Symbol"/>
                    <w:sz w:val="24"/>
                  </w:rPr>
                  <w:t>☐</w:t>
                </w:r>
              </w:sdtContent>
            </w:sdt>
            <w:r w:rsidR="00E70CED" w:rsidRPr="00334F18">
              <w:t xml:space="preserve"> Kaštų mažinimo analizė</w:t>
            </w:r>
          </w:p>
          <w:p w14:paraId="42039008" w14:textId="5726D9D8" w:rsidR="00FE5878" w:rsidRPr="00334F18" w:rsidRDefault="00000000" w:rsidP="00FE5878">
            <w:sdt>
              <w:sdtPr>
                <w:rPr>
                  <w:rStyle w:val="Style2"/>
                  <w:sz w:val="24"/>
                </w:rPr>
                <w:id w:val="-1570647133"/>
                <w15:color w:val="FFCC00"/>
                <w14:checkbox>
                  <w14:checked w14:val="0"/>
                  <w14:checkedState w14:val="2612" w14:font="MS Gothic"/>
                  <w14:uncheckedState w14:val="2610" w14:font="MS Gothic"/>
                </w14:checkbox>
              </w:sdtPr>
              <w:sdtContent>
                <w:r w:rsidR="00FE5878" w:rsidRPr="00334F18">
                  <w:rPr>
                    <w:rStyle w:val="Style2"/>
                    <w:rFonts w:ascii="Segoe UI Symbol" w:eastAsia="MS Gothic" w:hAnsi="Segoe UI Symbol" w:cs="Segoe UI Symbol"/>
                    <w:sz w:val="24"/>
                  </w:rPr>
                  <w:t>☐</w:t>
                </w:r>
              </w:sdtContent>
            </w:sdt>
            <w:r w:rsidR="00FE5878" w:rsidRPr="00334F18">
              <w:t xml:space="preserve"> Neteikiama</w:t>
            </w:r>
          </w:p>
          <w:p w14:paraId="5DC5A0C1" w14:textId="77777777" w:rsidR="00FE5878" w:rsidRPr="00334F18" w:rsidRDefault="00FE5878" w:rsidP="001F115E"/>
          <w:p w14:paraId="4B0FE78C" w14:textId="77777777" w:rsidR="00E70CED" w:rsidRPr="00334F18" w:rsidRDefault="00E70CED" w:rsidP="001F115E"/>
        </w:tc>
      </w:tr>
    </w:tbl>
    <w:p w14:paraId="2EB7FD31" w14:textId="5615B363" w:rsidR="007A2B68" w:rsidRPr="00334F18" w:rsidRDefault="00DC261A" w:rsidP="00063A50">
      <w:pPr>
        <w:pStyle w:val="Sraopastraipa"/>
        <w:tabs>
          <w:tab w:val="left" w:pos="426"/>
        </w:tabs>
        <w:ind w:left="0"/>
        <w:jc w:val="center"/>
        <w:rPr>
          <w:b/>
          <w:bCs/>
          <w:caps/>
        </w:rPr>
      </w:pPr>
      <w:r w:rsidRPr="00334F18">
        <w:rPr>
          <w:b/>
          <w:bCs/>
          <w:caps/>
        </w:rPr>
        <w:t>___________________</w:t>
      </w:r>
    </w:p>
    <w:p w14:paraId="73290081" w14:textId="77777777" w:rsidR="007A2B68" w:rsidRPr="00334F18" w:rsidRDefault="007A2B68">
      <w:pPr>
        <w:rPr>
          <w:b/>
          <w:bCs/>
          <w:caps/>
        </w:rPr>
      </w:pPr>
      <w:r w:rsidRPr="00334F18">
        <w:rPr>
          <w:b/>
          <w:bCs/>
          <w:caps/>
        </w:rPr>
        <w:br w:type="page"/>
      </w:r>
    </w:p>
    <w:p w14:paraId="5055E8A8" w14:textId="0737D47D" w:rsidR="002E6F80" w:rsidRPr="00334F18" w:rsidRDefault="00CC7832" w:rsidP="00CC09D4">
      <w:pPr>
        <w:pStyle w:val="Sraopastraipa"/>
        <w:numPr>
          <w:ilvl w:val="0"/>
          <w:numId w:val="12"/>
        </w:numPr>
        <w:tabs>
          <w:tab w:val="left" w:pos="567"/>
        </w:tabs>
        <w:ind w:hanging="720"/>
        <w:rPr>
          <w:b/>
          <w:bCs/>
          <w:caps/>
        </w:rPr>
      </w:pPr>
      <w:r w:rsidRPr="00334F18">
        <w:rPr>
          <w:b/>
          <w:bCs/>
          <w:caps/>
        </w:rPr>
        <w:lastRenderedPageBreak/>
        <w:t>Klinikinio vertinimo a</w:t>
      </w:r>
      <w:r w:rsidR="00D4485B" w:rsidRPr="00334F18">
        <w:rPr>
          <w:b/>
          <w:bCs/>
          <w:caps/>
        </w:rPr>
        <w:t>pibendrinimas</w:t>
      </w:r>
    </w:p>
    <w:p w14:paraId="25F89291" w14:textId="5C45C8FC" w:rsidR="00D4485B" w:rsidRDefault="00D4485B" w:rsidP="00A93AA6">
      <w:pPr>
        <w:pStyle w:val="Sraopastraipa"/>
        <w:tabs>
          <w:tab w:val="left" w:pos="426"/>
        </w:tabs>
        <w:ind w:left="0"/>
        <w:rPr>
          <w:b/>
          <w:bCs/>
          <w:caps/>
        </w:rPr>
      </w:pPr>
    </w:p>
    <w:p w14:paraId="78908AED" w14:textId="3384B9F3" w:rsidR="00067D28" w:rsidRPr="00067D28" w:rsidRDefault="00067D28" w:rsidP="00067D28">
      <w:pPr>
        <w:tabs>
          <w:tab w:val="left" w:pos="426"/>
        </w:tabs>
        <w:spacing w:line="276" w:lineRule="auto"/>
        <w:jc w:val="both"/>
        <w:rPr>
          <w:rFonts w:eastAsia="Arial"/>
          <w:iCs/>
        </w:rPr>
      </w:pPr>
      <w:r w:rsidRPr="00067D28">
        <w:rPr>
          <w:rFonts w:eastAsia="Arial"/>
          <w:iCs/>
        </w:rPr>
        <w:t xml:space="preserve">Alzheimerio liga </w:t>
      </w:r>
      <w:r w:rsidR="002D7A2D">
        <w:rPr>
          <w:rFonts w:eastAsia="Arial"/>
          <w:iCs/>
        </w:rPr>
        <w:t xml:space="preserve">(AL) </w:t>
      </w:r>
      <w:r w:rsidRPr="00067D28">
        <w:rPr>
          <w:rFonts w:eastAsia="Arial"/>
          <w:iCs/>
        </w:rPr>
        <w:t>yra progresuojanti neurodegeneracinė liga, kuriai būdingas progresuojantis atminties praradimas, kognityvinis nuosmukis ir elgesio pokyčiai, kurie daro didelę įtaką sergančiųjų, jų globėjų ir šeimų gyvenimo kokybei. Ankstyvas Alzheimerio ligos pradžios įvykis yra β-amiloidinių plokštelių kaupimasis smegenyse, dėl kurio atsiranda būdingų smegenų pokyčių kaskados, kurių pasekmėje atsiranda neuronų disfunkcija ir ląstelių atrofija.</w:t>
      </w:r>
    </w:p>
    <w:p w14:paraId="5C2E9D02" w14:textId="77777777" w:rsidR="00067D28" w:rsidRPr="00067D28" w:rsidRDefault="00067D28" w:rsidP="00067D28">
      <w:pPr>
        <w:tabs>
          <w:tab w:val="left" w:pos="426"/>
        </w:tabs>
        <w:spacing w:line="276" w:lineRule="auto"/>
        <w:jc w:val="both"/>
        <w:rPr>
          <w:rFonts w:eastAsia="Arial"/>
          <w:iCs/>
        </w:rPr>
      </w:pPr>
      <w:r w:rsidRPr="00067D28">
        <w:rPr>
          <w:rFonts w:eastAsia="Arial"/>
          <w:iCs/>
        </w:rPr>
        <w:t>Sergantys asmenys patiria progresuojančius atminties, bendravimo, regos ir erdvinio suvokimo gebėjimų, samprotavimo ar problemų sprendimo, sudėtingų užduočių atlikimo, organizacinių, koordinacijos ir motorinių funkcijų sunkumus, taip pat asmenybės pokyčius, depresiją, nerimą, apatiją ir sujaudinimą.</w:t>
      </w:r>
    </w:p>
    <w:p w14:paraId="034A39C3" w14:textId="77777777" w:rsidR="00067D28" w:rsidRPr="00067D28" w:rsidRDefault="00067D28" w:rsidP="00067D28">
      <w:pPr>
        <w:tabs>
          <w:tab w:val="left" w:pos="426"/>
        </w:tabs>
        <w:spacing w:line="276" w:lineRule="auto"/>
        <w:jc w:val="both"/>
        <w:rPr>
          <w:rFonts w:eastAsia="Arial"/>
          <w:iCs/>
        </w:rPr>
      </w:pPr>
      <w:r w:rsidRPr="00067D28">
        <w:rPr>
          <w:rFonts w:eastAsia="Arial"/>
          <w:iCs/>
        </w:rPr>
        <w:tab/>
        <w:t>Šiuo metu remiantis Europos gairėmis išskiriamos kelios AL stadijos:</w:t>
      </w:r>
    </w:p>
    <w:p w14:paraId="51968DC2" w14:textId="77777777" w:rsidR="00067D28" w:rsidRPr="00067D28" w:rsidRDefault="00067D28" w:rsidP="00067D28">
      <w:pPr>
        <w:numPr>
          <w:ilvl w:val="0"/>
          <w:numId w:val="15"/>
        </w:numPr>
        <w:tabs>
          <w:tab w:val="left" w:pos="426"/>
        </w:tabs>
        <w:spacing w:line="276" w:lineRule="auto"/>
        <w:contextualSpacing/>
        <w:jc w:val="both"/>
        <w:rPr>
          <w:rFonts w:eastAsia="Arial"/>
          <w:iCs/>
        </w:rPr>
      </w:pPr>
      <w:r w:rsidRPr="00067D28">
        <w:rPr>
          <w:rFonts w:eastAsia="Arial"/>
          <w:iCs/>
        </w:rPr>
        <w:t>Subjektyvinis pažinimo funkcijų blogėjimas (angl. SCD)</w:t>
      </w:r>
    </w:p>
    <w:p w14:paraId="17C933DB" w14:textId="77777777" w:rsidR="00067D28" w:rsidRPr="00067D28" w:rsidRDefault="00067D28" w:rsidP="00067D28">
      <w:pPr>
        <w:numPr>
          <w:ilvl w:val="0"/>
          <w:numId w:val="15"/>
        </w:numPr>
        <w:tabs>
          <w:tab w:val="left" w:pos="426"/>
        </w:tabs>
        <w:spacing w:line="276" w:lineRule="auto"/>
        <w:contextualSpacing/>
        <w:jc w:val="both"/>
        <w:rPr>
          <w:rFonts w:eastAsia="Arial"/>
          <w:iCs/>
        </w:rPr>
      </w:pPr>
      <w:r w:rsidRPr="00067D28">
        <w:rPr>
          <w:rFonts w:eastAsia="Arial"/>
          <w:iCs/>
        </w:rPr>
        <w:t>Lengvas kognityvinis sutrikimas dėl Alzheimerio ligos (angl. MCI, prodrominė AL)</w:t>
      </w:r>
    </w:p>
    <w:p w14:paraId="1CD72404" w14:textId="77777777" w:rsidR="00067D28" w:rsidRPr="00067D28" w:rsidRDefault="00067D28" w:rsidP="00067D28">
      <w:pPr>
        <w:numPr>
          <w:ilvl w:val="0"/>
          <w:numId w:val="15"/>
        </w:numPr>
        <w:tabs>
          <w:tab w:val="left" w:pos="426"/>
        </w:tabs>
        <w:spacing w:line="276" w:lineRule="auto"/>
        <w:contextualSpacing/>
        <w:jc w:val="both"/>
        <w:rPr>
          <w:rFonts w:eastAsia="Arial"/>
          <w:iCs/>
        </w:rPr>
      </w:pPr>
      <w:r w:rsidRPr="00067D28">
        <w:rPr>
          <w:rFonts w:eastAsia="Arial"/>
          <w:iCs/>
        </w:rPr>
        <w:t>Alzheimerio demencija</w:t>
      </w:r>
    </w:p>
    <w:p w14:paraId="048D5D90" w14:textId="77777777" w:rsidR="00067D28" w:rsidRPr="00067D28" w:rsidRDefault="00067D28" w:rsidP="00067D28">
      <w:pPr>
        <w:numPr>
          <w:ilvl w:val="1"/>
          <w:numId w:val="15"/>
        </w:numPr>
        <w:tabs>
          <w:tab w:val="left" w:pos="426"/>
        </w:tabs>
        <w:spacing w:line="276" w:lineRule="auto"/>
        <w:contextualSpacing/>
        <w:jc w:val="both"/>
        <w:rPr>
          <w:rFonts w:eastAsia="Arial"/>
          <w:iCs/>
        </w:rPr>
      </w:pPr>
      <w:r w:rsidRPr="00067D28">
        <w:rPr>
          <w:rFonts w:eastAsia="Arial"/>
          <w:iCs/>
        </w:rPr>
        <w:t>Lengva</w:t>
      </w:r>
    </w:p>
    <w:p w14:paraId="3E4B01F4" w14:textId="77777777" w:rsidR="00067D28" w:rsidRPr="00067D28" w:rsidRDefault="00067D28" w:rsidP="00067D28">
      <w:pPr>
        <w:numPr>
          <w:ilvl w:val="1"/>
          <w:numId w:val="15"/>
        </w:numPr>
        <w:tabs>
          <w:tab w:val="left" w:pos="426"/>
        </w:tabs>
        <w:spacing w:line="276" w:lineRule="auto"/>
        <w:contextualSpacing/>
        <w:jc w:val="both"/>
        <w:rPr>
          <w:rFonts w:eastAsia="Arial"/>
          <w:iCs/>
        </w:rPr>
      </w:pPr>
      <w:r w:rsidRPr="00067D28">
        <w:rPr>
          <w:rFonts w:eastAsia="Arial"/>
          <w:iCs/>
        </w:rPr>
        <w:t xml:space="preserve">Vidutinė </w:t>
      </w:r>
    </w:p>
    <w:p w14:paraId="5E96C0A9" w14:textId="77777777" w:rsidR="00067D28" w:rsidRPr="00067D28" w:rsidRDefault="00067D28" w:rsidP="00067D28">
      <w:pPr>
        <w:numPr>
          <w:ilvl w:val="1"/>
          <w:numId w:val="15"/>
        </w:numPr>
        <w:tabs>
          <w:tab w:val="left" w:pos="426"/>
        </w:tabs>
        <w:spacing w:line="276" w:lineRule="auto"/>
        <w:contextualSpacing/>
        <w:jc w:val="both"/>
        <w:rPr>
          <w:rFonts w:eastAsia="Arial"/>
          <w:iCs/>
        </w:rPr>
      </w:pPr>
      <w:r w:rsidRPr="00067D28">
        <w:rPr>
          <w:rFonts w:eastAsia="Arial"/>
          <w:iCs/>
        </w:rPr>
        <w:t>Sunki</w:t>
      </w:r>
    </w:p>
    <w:p w14:paraId="5869F71F" w14:textId="4624649E" w:rsidR="00067D28" w:rsidRPr="00067D28" w:rsidRDefault="00067D28" w:rsidP="00067D28">
      <w:pPr>
        <w:tabs>
          <w:tab w:val="left" w:pos="426"/>
        </w:tabs>
        <w:spacing w:line="276" w:lineRule="auto"/>
        <w:jc w:val="both"/>
        <w:rPr>
          <w:rFonts w:eastAsia="Arial"/>
          <w:iCs/>
        </w:rPr>
      </w:pPr>
      <w:r w:rsidRPr="00067D28">
        <w:rPr>
          <w:rFonts w:eastAsia="Arial"/>
          <w:iCs/>
        </w:rPr>
        <w:tab/>
        <w:t>Ankstyvosiose Alzheimerio ligos stadijose sunku diagnozuoti ligą remiantis vien klinikiniu įvertinimu, todėl yra didelė vėlyvos ir klaidingos diagnozės tikimybė. Tačiau savalaikė ir tiksli diagnozė yra labai svarbi norint optimizuoti pacientų rezultatus. Nustatyta, kad vaizdinių tyrimų (pvz., pozitronų emisijos tomografijos [PET]) ir smegenų skysčio biožymenų, skirtų Alzheimerio ligai, plėtra pagerina diagnostinį pasitikėjimą ir taip padeda nustatyti asmenis, kuriems gali būti naudinga ankstyva intervencija. Amiloidinis PET rodo regioninį β-amiloidinių plokštelių pasiskirstymą smegenyse ir gali diagnozuoti Alzheimerio ligą labai jautriai ir specifiškai. Pranešta, kad amiloidinio PET naudojimas ankstyvosiose Alzheimerio ligos stadijose yra susijęs su geresniu diagnostiniu pasitikėjimu ir gali lemti teigiamus ligos valdymo pokyčius. Naudojant smegenų skysčio biožymenis, nustatytas didelis atitikimas tarp amiloido beta (Aβ) Aβ42/Aβ40 santykio sumažėjimo ir Aβ vizualizavimo PET tyrimu, o tai suteikia dar vieną būdą diagnozuoti pacientus, sergančius Aβ patologija. Kraujo biožymenų tyrimai taip pat yra besivystanti Alzheimerio ligos diagnostikos sritis.</w:t>
      </w:r>
    </w:p>
    <w:p w14:paraId="7D37B68C" w14:textId="1507B8A4" w:rsidR="00067D28" w:rsidRDefault="00067D28" w:rsidP="00067D28">
      <w:pPr>
        <w:tabs>
          <w:tab w:val="left" w:pos="426"/>
        </w:tabs>
        <w:spacing w:line="276" w:lineRule="auto"/>
        <w:jc w:val="both"/>
        <w:rPr>
          <w:rFonts w:eastAsia="Arial"/>
          <w:iCs/>
        </w:rPr>
      </w:pPr>
      <w:r w:rsidRPr="00067D28">
        <w:rPr>
          <w:rFonts w:eastAsia="Arial"/>
          <w:iCs/>
        </w:rPr>
        <w:tab/>
        <w:t>Donanemabas yra pirmojo tipo gama imunoglobulino (IgG1) monokloninis antikūnas, kuriam būdingas didelis afinitetas modifikuotai, sutrump</w:t>
      </w:r>
      <w:r w:rsidR="0073440F">
        <w:rPr>
          <w:rFonts w:eastAsia="Arial"/>
          <w:iCs/>
        </w:rPr>
        <w:t>ėjusį</w:t>
      </w:r>
      <w:r w:rsidRPr="00067D28">
        <w:rPr>
          <w:rFonts w:eastAsia="Arial"/>
          <w:iCs/>
        </w:rPr>
        <w:t xml:space="preserve"> N galą turinčiai beta amiloido formai (N3pE Aβ). Mažas N3pE Aβ kiekis yra galvos smegenų amiloido plokštelėse ir jo neaptinkama plazmoje ar smegenų skystyje. Donanemabas prisijungia prie N3pE Aβ ir padeda pašalinti plokšteles mikroglijos veikiamos fagocitozės būdu.</w:t>
      </w:r>
    </w:p>
    <w:p w14:paraId="3AFD8795" w14:textId="77777777" w:rsidR="005A3D05" w:rsidRDefault="005A3D05" w:rsidP="005A3D05">
      <w:pPr>
        <w:tabs>
          <w:tab w:val="left" w:pos="426"/>
        </w:tabs>
        <w:spacing w:line="276" w:lineRule="auto"/>
        <w:jc w:val="both"/>
        <w:rPr>
          <w:rFonts w:eastAsia="Arial"/>
          <w:iCs/>
        </w:rPr>
      </w:pPr>
      <w:r>
        <w:rPr>
          <w:rFonts w:eastAsia="Arial"/>
          <w:iCs/>
        </w:rPr>
        <w:tab/>
      </w:r>
      <w:r w:rsidR="002D7A2D" w:rsidRPr="00824094">
        <w:rPr>
          <w:rFonts w:eastAsia="Arial"/>
          <w:iCs/>
        </w:rPr>
        <w:t xml:space="preserve">Šiuo metu Lietuvoje yra taikomas tik simptominis AL gydymas, kuris reglamentuojamas </w:t>
      </w:r>
      <w:r w:rsidR="002D7A2D">
        <w:rPr>
          <w:rFonts w:eastAsia="Arial"/>
          <w:iCs/>
        </w:rPr>
        <w:t xml:space="preserve">Lietuvos Respublikos </w:t>
      </w:r>
      <w:r w:rsidR="002D7A2D" w:rsidRPr="00824094">
        <w:rPr>
          <w:rFonts w:eastAsia="Arial"/>
          <w:iCs/>
        </w:rPr>
        <w:t>Sveikatos apsaugos ministro</w:t>
      </w:r>
      <w:r w:rsidR="002D7A2D">
        <w:rPr>
          <w:rFonts w:eastAsia="Arial"/>
          <w:iCs/>
        </w:rPr>
        <w:t xml:space="preserve"> </w:t>
      </w:r>
      <w:r w:rsidR="002D7A2D" w:rsidRPr="00824094">
        <w:rPr>
          <w:rFonts w:eastAsia="Arial"/>
          <w:iCs/>
        </w:rPr>
        <w:t>2000 m. liepos 4 d. įsakymu</w:t>
      </w:r>
      <w:r w:rsidR="002D7A2D">
        <w:rPr>
          <w:rFonts w:eastAsia="Arial"/>
          <w:iCs/>
        </w:rPr>
        <w:t xml:space="preserve"> Nr. </w:t>
      </w:r>
      <w:r w:rsidR="002D7A2D" w:rsidRPr="00334C5D">
        <w:rPr>
          <w:iCs/>
        </w:rPr>
        <w:t>Nr. 382</w:t>
      </w:r>
      <w:r w:rsidR="002D7A2D" w:rsidRPr="00824094">
        <w:rPr>
          <w:rFonts w:eastAsia="Arial"/>
          <w:iCs/>
        </w:rPr>
        <w:t xml:space="preserve"> “Dėl Alzheimerio ligos diagnozavimo ir gydymo metodų bei Alzheimerio ligos diagnostinių kriterijų patvirtinimo“. Ligą modifikuojantis gydymas Lietuvoje netaikomas, todėl placebas laikomas tinkamu palyginamuoju gydymu.</w:t>
      </w:r>
    </w:p>
    <w:p w14:paraId="2BA4E083" w14:textId="706716F2" w:rsidR="005A3D05" w:rsidRPr="00474226" w:rsidRDefault="005A3D05" w:rsidP="005A3D05">
      <w:pPr>
        <w:tabs>
          <w:tab w:val="left" w:pos="426"/>
        </w:tabs>
        <w:spacing w:line="276" w:lineRule="auto"/>
        <w:jc w:val="both"/>
        <w:rPr>
          <w:rFonts w:eastAsia="Arial"/>
          <w:iCs/>
        </w:rPr>
      </w:pPr>
      <w:r w:rsidRPr="00474226">
        <w:rPr>
          <w:rFonts w:eastAsia="Arial"/>
          <w:iCs/>
        </w:rPr>
        <w:tab/>
      </w:r>
      <w:r w:rsidR="00474226" w:rsidRPr="00474226">
        <w:rPr>
          <w:iCs/>
        </w:rPr>
        <w:t xml:space="preserve">Donanemabas yra vienas iš dviejų Europos sąjungoje registruotų biologinių vaistinių preparatų skirtų </w:t>
      </w:r>
      <w:r w:rsidR="00474226" w:rsidRPr="00474226">
        <w:rPr>
          <w:rFonts w:eastAsia="Arial"/>
          <w:iCs/>
        </w:rPr>
        <w:t xml:space="preserve">Alzheimerio ligai gydyti. Įrašius šį vaistinį preparatą </w:t>
      </w:r>
      <w:r w:rsidR="00474226">
        <w:rPr>
          <w:rFonts w:eastAsia="Arial"/>
          <w:iCs/>
        </w:rPr>
        <w:t xml:space="preserve">į kompensavimo sąrašus </w:t>
      </w:r>
      <w:r w:rsidR="00474226" w:rsidRPr="00474226">
        <w:rPr>
          <w:rFonts w:eastAsia="Arial"/>
          <w:iCs/>
        </w:rPr>
        <w:t>būtų formuojama nauja Alzheimerio ligos gydymo ligą modifikuojančiais vaistais praktika.</w:t>
      </w:r>
    </w:p>
    <w:p w14:paraId="52046944" w14:textId="77777777" w:rsidR="00474226" w:rsidRDefault="00474226" w:rsidP="005A3D05">
      <w:pPr>
        <w:tabs>
          <w:tab w:val="left" w:pos="426"/>
        </w:tabs>
        <w:spacing w:line="276" w:lineRule="auto"/>
        <w:jc w:val="both"/>
        <w:rPr>
          <w:rFonts w:eastAsia="Arial"/>
          <w:iCs/>
        </w:rPr>
      </w:pPr>
    </w:p>
    <w:p w14:paraId="26A4453F" w14:textId="77777777" w:rsidR="005A3D05" w:rsidRPr="00824094" w:rsidRDefault="005A3D05" w:rsidP="005A3D05">
      <w:pPr>
        <w:tabs>
          <w:tab w:val="left" w:pos="426"/>
        </w:tabs>
        <w:spacing w:line="276" w:lineRule="auto"/>
        <w:jc w:val="both"/>
        <w:rPr>
          <w:rFonts w:eastAsia="Arial"/>
          <w:i/>
        </w:rPr>
      </w:pPr>
      <w:r w:rsidRPr="00824094">
        <w:rPr>
          <w:rFonts w:eastAsia="Arial"/>
          <w:i/>
        </w:rPr>
        <w:t>Tiesioginis palyginimas</w:t>
      </w:r>
    </w:p>
    <w:p w14:paraId="05016BB4" w14:textId="5D1033CA" w:rsidR="005A3D05" w:rsidRDefault="00067D28" w:rsidP="00067D28">
      <w:pPr>
        <w:tabs>
          <w:tab w:val="left" w:pos="426"/>
        </w:tabs>
        <w:spacing w:line="276" w:lineRule="auto"/>
        <w:jc w:val="both"/>
        <w:rPr>
          <w:rFonts w:eastAsia="Arial"/>
          <w:iCs/>
        </w:rPr>
      </w:pPr>
      <w:r w:rsidRPr="00067D28">
        <w:rPr>
          <w:rFonts w:eastAsia="Arial"/>
          <w:bCs/>
        </w:rPr>
        <w:lastRenderedPageBreak/>
        <w:tab/>
        <w:t>Donanemabo palyginamasis veiksmingumas grindžiamas vieninteliu trečios fazės klinikiniu tyrimu TRAILBLAZER-ALZ2, kuriame dalyvavo pacientai, sergant</w:t>
      </w:r>
      <w:r w:rsidR="005A3D05">
        <w:rPr>
          <w:rFonts w:eastAsia="Arial"/>
          <w:bCs/>
        </w:rPr>
        <w:t>y</w:t>
      </w:r>
      <w:r w:rsidRPr="00067D28">
        <w:rPr>
          <w:rFonts w:eastAsia="Arial"/>
          <w:bCs/>
        </w:rPr>
        <w:t>s a</w:t>
      </w:r>
      <w:r w:rsidRPr="00067D28">
        <w:t>nkstyva simptomin</w:t>
      </w:r>
      <w:r w:rsidR="008C5397">
        <w:t>e</w:t>
      </w:r>
      <w:r w:rsidRPr="00067D28">
        <w:t xml:space="preserve"> Alzheimerio liga. </w:t>
      </w:r>
      <w:r w:rsidRPr="00067D28">
        <w:rPr>
          <w:rFonts w:eastAsia="Arial"/>
          <w:iCs/>
        </w:rPr>
        <w:t xml:space="preserve">TRAILBLAZER-ALZ2 buvo daugiacentris, atsitiktinių imčių, dvigubai </w:t>
      </w:r>
      <w:r w:rsidR="005A3D05">
        <w:rPr>
          <w:rFonts w:eastAsia="Arial"/>
          <w:iCs/>
        </w:rPr>
        <w:t>maskuotas</w:t>
      </w:r>
      <w:r w:rsidRPr="00067D28">
        <w:rPr>
          <w:rFonts w:eastAsia="Arial"/>
          <w:iCs/>
        </w:rPr>
        <w:t>, placebu kontroliuojamas, 18 mėnesių trukmės</w:t>
      </w:r>
      <w:r w:rsidR="005A3D05">
        <w:rPr>
          <w:rFonts w:eastAsia="Arial"/>
          <w:iCs/>
        </w:rPr>
        <w:t xml:space="preserve"> tyrimas</w:t>
      </w:r>
      <w:r w:rsidRPr="00067D28">
        <w:rPr>
          <w:rFonts w:eastAsia="Arial"/>
          <w:iCs/>
        </w:rPr>
        <w:t xml:space="preserve">, atliktas 277 medicinos tyrimų centruose / </w:t>
      </w:r>
      <w:r w:rsidR="005A3D05" w:rsidRPr="00067D28">
        <w:rPr>
          <w:rFonts w:eastAsia="Arial"/>
          <w:iCs/>
        </w:rPr>
        <w:t xml:space="preserve">aštuoniose </w:t>
      </w:r>
      <w:r w:rsidRPr="00067D28">
        <w:rPr>
          <w:rFonts w:eastAsia="Arial"/>
          <w:iCs/>
        </w:rPr>
        <w:t xml:space="preserve">ligoninėse. Pagrindinis TRAILBLAZER-ALZ2 tyrimo tikslas buvo įvertinti donanemabo poveikį </w:t>
      </w:r>
      <w:r w:rsidR="005A3D05">
        <w:rPr>
          <w:rFonts w:eastAsia="Arial"/>
          <w:iCs/>
        </w:rPr>
        <w:t>ligos progresavimui</w:t>
      </w:r>
      <w:r w:rsidRPr="00067D28">
        <w:rPr>
          <w:rFonts w:eastAsia="Arial"/>
          <w:iCs/>
        </w:rPr>
        <w:t xml:space="preserve"> (t. y. kognityvinio ir funkcinio nuosmukio progresavimui), palyginus su placebu. </w:t>
      </w:r>
    </w:p>
    <w:p w14:paraId="3DB40D56" w14:textId="5716A43C" w:rsidR="00067D28" w:rsidRPr="00067D28" w:rsidRDefault="00CF18BC" w:rsidP="00067D28">
      <w:pPr>
        <w:tabs>
          <w:tab w:val="left" w:pos="426"/>
        </w:tabs>
        <w:spacing w:line="276" w:lineRule="auto"/>
        <w:jc w:val="both"/>
        <w:rPr>
          <w:rFonts w:eastAsia="Arial"/>
          <w:iCs/>
        </w:rPr>
      </w:pPr>
      <w:r>
        <w:rPr>
          <w:rFonts w:eastAsia="Arial"/>
          <w:iCs/>
        </w:rPr>
        <w:tab/>
      </w:r>
      <w:r w:rsidR="0073440F" w:rsidRPr="00067D28">
        <w:rPr>
          <w:rFonts w:eastAsia="Arial"/>
          <w:iCs/>
        </w:rPr>
        <w:t xml:space="preserve">Šiame klinikiniame tyrime </w:t>
      </w:r>
      <w:r w:rsidR="0073440F" w:rsidRPr="00045DDB">
        <w:rPr>
          <w:rFonts w:eastAsia="Arial"/>
          <w:iCs/>
        </w:rPr>
        <w:t>pirminė pagrindinė vertinamoji</w:t>
      </w:r>
      <w:r w:rsidR="0073440F">
        <w:rPr>
          <w:rFonts w:eastAsia="Arial"/>
          <w:iCs/>
        </w:rPr>
        <w:t xml:space="preserve"> baigti</w:t>
      </w:r>
      <w:r w:rsidR="0073440F" w:rsidRPr="00065140">
        <w:rPr>
          <w:rFonts w:eastAsia="Arial"/>
          <w:iCs/>
        </w:rPr>
        <w:t xml:space="preserve"> buvo </w:t>
      </w:r>
      <w:r w:rsidR="0073440F" w:rsidRPr="00067D28">
        <w:rPr>
          <w:rFonts w:eastAsia="Arial"/>
          <w:i/>
        </w:rPr>
        <w:t>Integruot</w:t>
      </w:r>
      <w:r w:rsidR="0073440F">
        <w:rPr>
          <w:rFonts w:eastAsia="Arial"/>
          <w:i/>
        </w:rPr>
        <w:t>os</w:t>
      </w:r>
      <w:r w:rsidR="0073440F" w:rsidRPr="00067D28">
        <w:rPr>
          <w:rFonts w:eastAsia="Arial"/>
          <w:i/>
        </w:rPr>
        <w:t xml:space="preserve"> Alzheimerio ligos vertinimo skalės</w:t>
      </w:r>
      <w:r w:rsidR="0073440F" w:rsidRPr="00067D28">
        <w:rPr>
          <w:rFonts w:eastAsia="Arial"/>
          <w:iCs/>
        </w:rPr>
        <w:t xml:space="preserve"> (</w:t>
      </w:r>
      <w:r w:rsidR="0073440F">
        <w:rPr>
          <w:rFonts w:eastAsia="Arial"/>
          <w:iCs/>
        </w:rPr>
        <w:t xml:space="preserve">angl. </w:t>
      </w:r>
      <w:r w:rsidR="0073440F" w:rsidRPr="00CF18BC">
        <w:rPr>
          <w:rFonts w:eastAsia="Arial"/>
          <w:iCs/>
        </w:rPr>
        <w:t>Integrated Alzheimer's Disease Rating Scale</w:t>
      </w:r>
      <w:r w:rsidR="0073440F">
        <w:rPr>
          <w:rFonts w:eastAsia="Arial"/>
          <w:iCs/>
        </w:rPr>
        <w:t>,</w:t>
      </w:r>
      <w:r w:rsidR="0073440F" w:rsidRPr="00CF18BC">
        <w:rPr>
          <w:rFonts w:eastAsia="Arial"/>
          <w:i/>
          <w:iCs/>
        </w:rPr>
        <w:t xml:space="preserve"> </w:t>
      </w:r>
      <w:r w:rsidR="0073440F" w:rsidRPr="00067D28">
        <w:rPr>
          <w:rFonts w:eastAsia="Arial"/>
          <w:iCs/>
        </w:rPr>
        <w:t>iADRS</w:t>
      </w:r>
      <w:r w:rsidR="0073440F">
        <w:rPr>
          <w:rFonts w:eastAsia="Arial"/>
          <w:iCs/>
        </w:rPr>
        <w:t>)</w:t>
      </w:r>
      <w:r w:rsidR="0073440F" w:rsidRPr="00067D28">
        <w:rPr>
          <w:rFonts w:eastAsia="Arial"/>
          <w:iCs/>
        </w:rPr>
        <w:t xml:space="preserve"> </w:t>
      </w:r>
      <w:r w:rsidR="0073440F" w:rsidRPr="00065140">
        <w:rPr>
          <w:rFonts w:eastAsia="Arial"/>
          <w:iCs/>
        </w:rPr>
        <w:t>bal</w:t>
      </w:r>
      <w:r w:rsidR="0073440F">
        <w:rPr>
          <w:rFonts w:eastAsia="Arial"/>
          <w:iCs/>
        </w:rPr>
        <w:t>ų</w:t>
      </w:r>
      <w:r w:rsidR="0073440F" w:rsidRPr="00065140">
        <w:rPr>
          <w:rFonts w:eastAsia="Arial"/>
          <w:iCs/>
        </w:rPr>
        <w:t xml:space="preserve"> </w:t>
      </w:r>
      <w:r w:rsidR="0073440F">
        <w:rPr>
          <w:rFonts w:eastAsia="Arial"/>
          <w:iCs/>
        </w:rPr>
        <w:t xml:space="preserve">santykinis </w:t>
      </w:r>
      <w:r w:rsidR="0073440F" w:rsidRPr="00065140">
        <w:rPr>
          <w:rFonts w:eastAsia="Arial"/>
          <w:iCs/>
        </w:rPr>
        <w:t xml:space="preserve">pokytis nuo pradinio lygio iki 76 savaičių mažo/vidutinio </w:t>
      </w:r>
      <w:r w:rsidR="0073440F" w:rsidRPr="00555F8E">
        <w:rPr>
          <w:rFonts w:eastAsia="Arial"/>
          <w:i/>
        </w:rPr>
        <w:t>T</w:t>
      </w:r>
      <w:r w:rsidR="0073440F" w:rsidRPr="00CF18BC">
        <w:rPr>
          <w:rFonts w:eastAsia="Arial"/>
          <w:i/>
        </w:rPr>
        <w:t>au</w:t>
      </w:r>
      <w:r w:rsidR="0073440F" w:rsidRPr="00065140">
        <w:rPr>
          <w:rFonts w:eastAsia="Arial"/>
          <w:iCs/>
        </w:rPr>
        <w:t xml:space="preserve"> </w:t>
      </w:r>
      <w:r w:rsidR="0073440F">
        <w:rPr>
          <w:rFonts w:eastAsia="Arial"/>
          <w:bCs/>
        </w:rPr>
        <w:t xml:space="preserve">(angl. </w:t>
      </w:r>
      <w:r w:rsidR="0073440F" w:rsidRPr="00B82754">
        <w:rPr>
          <w:rFonts w:eastAsia="Arial"/>
          <w:bCs/>
        </w:rPr>
        <w:t> </w:t>
      </w:r>
      <w:r w:rsidR="0073440F" w:rsidRPr="00B82754">
        <w:rPr>
          <w:rFonts w:eastAsia="Arial"/>
          <w:b/>
          <w:bCs/>
        </w:rPr>
        <w:t>t</w:t>
      </w:r>
      <w:r w:rsidR="0073440F" w:rsidRPr="00B82754">
        <w:rPr>
          <w:rFonts w:eastAsia="Arial"/>
          <w:bCs/>
        </w:rPr>
        <w:t>ubulin </w:t>
      </w:r>
      <w:r w:rsidR="0073440F" w:rsidRPr="00B82754">
        <w:rPr>
          <w:rFonts w:eastAsia="Arial"/>
          <w:b/>
          <w:bCs/>
        </w:rPr>
        <w:t>a</w:t>
      </w:r>
      <w:r w:rsidR="0073440F" w:rsidRPr="00B82754">
        <w:rPr>
          <w:rFonts w:eastAsia="Arial"/>
          <w:bCs/>
        </w:rPr>
        <w:t>ssociated </w:t>
      </w:r>
      <w:r w:rsidR="0073440F" w:rsidRPr="00B82754">
        <w:rPr>
          <w:rFonts w:eastAsia="Arial"/>
          <w:b/>
          <w:bCs/>
        </w:rPr>
        <w:t>u</w:t>
      </w:r>
      <w:r w:rsidR="0073440F" w:rsidRPr="00B82754">
        <w:rPr>
          <w:rFonts w:eastAsia="Arial"/>
          <w:bCs/>
        </w:rPr>
        <w:t>nit</w:t>
      </w:r>
      <w:r w:rsidR="0073440F">
        <w:rPr>
          <w:rFonts w:eastAsia="Arial"/>
          <w:bCs/>
        </w:rPr>
        <w:t xml:space="preserve">) </w:t>
      </w:r>
      <w:r w:rsidR="0073440F" w:rsidRPr="00065140">
        <w:rPr>
          <w:rFonts w:eastAsia="Arial"/>
          <w:iCs/>
        </w:rPr>
        <w:t>populiacijoje</w:t>
      </w:r>
      <w:r w:rsidR="0073440F">
        <w:rPr>
          <w:rFonts w:eastAsia="Arial"/>
          <w:iCs/>
        </w:rPr>
        <w:t xml:space="preserve"> </w:t>
      </w:r>
      <w:r w:rsidR="0073440F" w:rsidRPr="00065140">
        <w:rPr>
          <w:rFonts w:eastAsia="Arial"/>
          <w:iCs/>
        </w:rPr>
        <w:t xml:space="preserve">arba kombinuotoje (mažo/vidutinio ir didelio </w:t>
      </w:r>
      <w:r w:rsidR="0073440F" w:rsidRPr="00555F8E">
        <w:rPr>
          <w:rFonts w:eastAsia="Arial"/>
          <w:i/>
        </w:rPr>
        <w:t>T</w:t>
      </w:r>
      <w:r w:rsidR="0073440F" w:rsidRPr="000B470F">
        <w:rPr>
          <w:rFonts w:eastAsia="Arial"/>
          <w:i/>
        </w:rPr>
        <w:t>au</w:t>
      </w:r>
      <w:r w:rsidR="0073440F" w:rsidRPr="00065140">
        <w:rPr>
          <w:rFonts w:eastAsia="Arial"/>
          <w:iCs/>
        </w:rPr>
        <w:t>) populiacijoje</w:t>
      </w:r>
      <w:r w:rsidR="0073440F" w:rsidRPr="00067D28">
        <w:rPr>
          <w:rFonts w:eastAsia="Arial"/>
          <w:iCs/>
        </w:rPr>
        <w:t xml:space="preserve"> (t. y. bendroje populiacijoje arba mažo ir vidutinio tau genotipo populiacijoje) ir turėjo parodyti apskaičiuotą ligos progresavimo sulėtėjimą. </w:t>
      </w:r>
      <w:r w:rsidR="00067D28" w:rsidRPr="00067D28">
        <w:rPr>
          <w:rFonts w:eastAsia="Arial"/>
          <w:iCs/>
        </w:rPr>
        <w:t>Pagal statistinį planą 20 proc. ar d</w:t>
      </w:r>
      <w:r w:rsidR="008C5397">
        <w:rPr>
          <w:rFonts w:eastAsia="Arial"/>
          <w:iCs/>
        </w:rPr>
        <w:t>idesnis</w:t>
      </w:r>
      <w:r w:rsidR="00067D28" w:rsidRPr="00067D28">
        <w:rPr>
          <w:rFonts w:eastAsia="Arial"/>
          <w:iCs/>
        </w:rPr>
        <w:t xml:space="preserve"> klinikin</w:t>
      </w:r>
      <w:r w:rsidR="008C5397">
        <w:rPr>
          <w:rFonts w:eastAsia="Arial"/>
          <w:iCs/>
        </w:rPr>
        <w:t xml:space="preserve">is </w:t>
      </w:r>
      <w:r w:rsidR="00067D28" w:rsidRPr="00067D28">
        <w:rPr>
          <w:rFonts w:eastAsia="Arial"/>
          <w:iCs/>
        </w:rPr>
        <w:t>progresavimo sulėtėjimas buvo laikomas kliniškai reikšmingu</w:t>
      </w:r>
      <w:r w:rsidR="008C5397">
        <w:rPr>
          <w:rFonts w:eastAsia="Arial"/>
          <w:iCs/>
        </w:rPr>
        <w:t>.</w:t>
      </w:r>
    </w:p>
    <w:p w14:paraId="2AA68E18" w14:textId="1AA76738" w:rsidR="004853E0" w:rsidRDefault="00067D28" w:rsidP="004853E0">
      <w:pPr>
        <w:tabs>
          <w:tab w:val="left" w:pos="426"/>
        </w:tabs>
        <w:spacing w:line="276" w:lineRule="auto"/>
        <w:jc w:val="both"/>
        <w:rPr>
          <w:rFonts w:eastAsia="Arial"/>
        </w:rPr>
      </w:pPr>
      <w:r w:rsidRPr="00067D28">
        <w:rPr>
          <w:rFonts w:eastAsia="Arial"/>
          <w:iCs/>
        </w:rPr>
        <w:tab/>
        <w:t>Svarbiausi</w:t>
      </w:r>
      <w:r w:rsidR="00445D5B">
        <w:rPr>
          <w:rFonts w:eastAsia="Arial"/>
          <w:iCs/>
        </w:rPr>
        <w:t>os</w:t>
      </w:r>
      <w:r w:rsidRPr="00067D28">
        <w:rPr>
          <w:rFonts w:eastAsia="Arial"/>
          <w:iCs/>
        </w:rPr>
        <w:t xml:space="preserve"> antrin</w:t>
      </w:r>
      <w:r w:rsidR="00445D5B">
        <w:rPr>
          <w:rFonts w:eastAsia="Arial"/>
          <w:iCs/>
        </w:rPr>
        <w:t>ės</w:t>
      </w:r>
      <w:r w:rsidRPr="00067D28">
        <w:rPr>
          <w:rFonts w:eastAsia="Arial"/>
          <w:iCs/>
        </w:rPr>
        <w:t xml:space="preserve"> vertinamosios baigtys, įtrauktos į daugybinio testavimo schemą, skirtą kontroliuoti I tipo tyrimo paklaidą apėmė CDR-SB skalės pokytį nuo pradinio lygio iki 76 savaitės, skirtą pažinimui ir funkcijai įvertinti, ADAS-Cog13 skalės pokytį, skirtą pažinimo sritims, kurios dažniausiai yra sutrikusios sergant AD, įvertinti, ir ADCS-iADL skalės pokytį, skirtą dalyvių kompetencijai atlikti IADL. Ligos progresavimo sulėtėjimo procentas buvo apskaičiuotas kaip mažiausių kvadratų įverčiai, rodantys skirtumus, palyginti su pradiniu lygiu, tarp gydymo grupių 76 savaitę, padalyti iš mažiausių kvadratų įverčių (</w:t>
      </w:r>
      <w:r w:rsidRPr="00067D28">
        <w:rPr>
          <w:rFonts w:eastAsia="Arial"/>
          <w:i/>
        </w:rPr>
        <w:t>angl. LSM</w:t>
      </w:r>
      <w:r w:rsidRPr="00067D28">
        <w:rPr>
          <w:rFonts w:eastAsia="Arial"/>
          <w:iCs/>
        </w:rPr>
        <w:t>), rodančių vidutinį pokytį, palyginti su pradiniu lygiu placebo grupėje.</w:t>
      </w:r>
      <w:r w:rsidR="0073440F">
        <w:rPr>
          <w:rFonts w:eastAsia="Arial"/>
          <w:iCs/>
        </w:rPr>
        <w:t xml:space="preserve"> </w:t>
      </w:r>
      <w:r w:rsidRPr="00067D28">
        <w:rPr>
          <w:rFonts w:eastAsia="Arial"/>
          <w:iCs/>
        </w:rPr>
        <w:t>Rezultatų nuoseklumui įrodyti buvo taikyti keli statistiniai metodai. Dauguma klinikinių rezultatų, išskyrus CDR-SB, daugiausia buvo analizuojami naudojant natūralaus kubinio splaino su 2 laisvės laipsniais (NCS2) metodą.</w:t>
      </w:r>
      <w:r w:rsidRPr="00067D28">
        <w:rPr>
          <w:rFonts w:eastAsia="Arial"/>
        </w:rPr>
        <w:t xml:space="preserve"> </w:t>
      </w:r>
    </w:p>
    <w:p w14:paraId="575DC196" w14:textId="2AC6E43A" w:rsidR="00067D28" w:rsidRPr="00067D28" w:rsidRDefault="004853E0" w:rsidP="004853E0">
      <w:pPr>
        <w:tabs>
          <w:tab w:val="left" w:pos="426"/>
        </w:tabs>
        <w:spacing w:line="276" w:lineRule="auto"/>
        <w:jc w:val="both"/>
        <w:rPr>
          <w:rFonts w:eastAsia="Arial"/>
        </w:rPr>
      </w:pPr>
      <w:r>
        <w:rPr>
          <w:rFonts w:eastAsia="Arial"/>
        </w:rPr>
        <w:tab/>
      </w:r>
      <w:r w:rsidR="00067D28" w:rsidRPr="00067D28">
        <w:rPr>
          <w:rFonts w:eastAsia="Arial"/>
        </w:rPr>
        <w:t>TRAILBLAZER-ALZ2 tyrime pacientų pradiniai demografiniai duomenys ir ligos charakteristikos atspindėjo numatytą bendrą ligos populiaciją. Atsitiktinės atrankos būdu pacientai buvo suskirstyti į dvi tyrimo grupes: donanemab</w:t>
      </w:r>
      <w:r w:rsidR="00CF18BC">
        <w:rPr>
          <w:rFonts w:eastAsia="Arial"/>
        </w:rPr>
        <w:t>o</w:t>
      </w:r>
      <w:r w:rsidR="00067D28" w:rsidRPr="00067D28">
        <w:rPr>
          <w:rFonts w:eastAsia="Arial"/>
        </w:rPr>
        <w:t xml:space="preserve"> (</w:t>
      </w:r>
      <w:r w:rsidR="0073440F">
        <w:rPr>
          <w:rFonts w:eastAsia="Arial"/>
        </w:rPr>
        <w:t>dozuojant</w:t>
      </w:r>
      <w:r w:rsidR="00CF18BC">
        <w:rPr>
          <w:rFonts w:eastAsia="Arial"/>
        </w:rPr>
        <w:t xml:space="preserve"> po </w:t>
      </w:r>
      <w:r w:rsidR="00067D28" w:rsidRPr="00067D28">
        <w:rPr>
          <w:rFonts w:eastAsia="Arial"/>
        </w:rPr>
        <w:t>700 mg pirmąsias 3 dozes ir 1400 mg vėliau) arba placeb</w:t>
      </w:r>
      <w:r w:rsidR="00CF18BC">
        <w:rPr>
          <w:rFonts w:eastAsia="Arial"/>
        </w:rPr>
        <w:t>o</w:t>
      </w:r>
      <w:r w:rsidR="00067D28" w:rsidRPr="00067D28">
        <w:rPr>
          <w:rFonts w:eastAsia="Arial"/>
        </w:rPr>
        <w:t xml:space="preserve">, </w:t>
      </w:r>
      <w:r w:rsidR="00CF18BC">
        <w:rPr>
          <w:rFonts w:eastAsia="Arial"/>
        </w:rPr>
        <w:t xml:space="preserve">kuris buvo </w:t>
      </w:r>
      <w:r w:rsidR="00067D28" w:rsidRPr="00067D28">
        <w:rPr>
          <w:rFonts w:eastAsia="Arial"/>
        </w:rPr>
        <w:t>leidžiam</w:t>
      </w:r>
      <w:r w:rsidR="00CF18BC">
        <w:rPr>
          <w:rFonts w:eastAsia="Arial"/>
        </w:rPr>
        <w:t>as</w:t>
      </w:r>
      <w:r w:rsidR="00067D28" w:rsidRPr="00067D28">
        <w:rPr>
          <w:rFonts w:eastAsia="Arial"/>
        </w:rPr>
        <w:t xml:space="preserve"> į veną kas 4 savaites iki 7</w:t>
      </w:r>
      <w:r w:rsidR="00A55199">
        <w:rPr>
          <w:rFonts w:eastAsia="Arial"/>
        </w:rPr>
        <w:t>6</w:t>
      </w:r>
      <w:r w:rsidR="00067D28" w:rsidRPr="00067D28">
        <w:rPr>
          <w:rFonts w:eastAsia="Arial"/>
        </w:rPr>
        <w:t xml:space="preserve"> savaičių. Jei amiloidinių plokštelių </w:t>
      </w:r>
      <w:r w:rsidR="008C5397">
        <w:rPr>
          <w:rFonts w:eastAsia="Arial"/>
        </w:rPr>
        <w:t>dydis</w:t>
      </w:r>
      <w:r w:rsidR="00067D28" w:rsidRPr="00067D28">
        <w:rPr>
          <w:rFonts w:eastAsia="Arial"/>
        </w:rPr>
        <w:t xml:space="preserve"> (vertin</w:t>
      </w:r>
      <w:r w:rsidR="008C5397">
        <w:rPr>
          <w:rFonts w:eastAsia="Arial"/>
        </w:rPr>
        <w:t>ant</w:t>
      </w:r>
      <w:r w:rsidR="00067D28" w:rsidRPr="00067D28">
        <w:rPr>
          <w:rFonts w:eastAsia="Arial"/>
        </w:rPr>
        <w:t xml:space="preserve"> 24 ir 52 savait</w:t>
      </w:r>
      <w:r w:rsidR="0073440F">
        <w:rPr>
          <w:rFonts w:eastAsia="Arial"/>
        </w:rPr>
        <w:t>ėmi</w:t>
      </w:r>
      <w:r w:rsidR="00F74E3B">
        <w:rPr>
          <w:rFonts w:eastAsia="Arial"/>
        </w:rPr>
        <w:t>s</w:t>
      </w:r>
      <w:r w:rsidR="00067D28" w:rsidRPr="00067D28">
        <w:rPr>
          <w:rFonts w:eastAsia="Arial"/>
        </w:rPr>
        <w:t xml:space="preserve">) buvo mažesnis nei 11 centiloidų bet kurio vieno PET tyrimo metu arba mažesnis nei 25, bet didesnis arba lygus 11 centiloidų dviejų iš eilės atliktų PET tyrimų metu (TRAILBLAZER-ALZ ribinės vertės 9), donanemabas buvo pakeistas placebu </w:t>
      </w:r>
      <w:r w:rsidR="00CF18BC">
        <w:rPr>
          <w:rFonts w:eastAsia="Arial"/>
        </w:rPr>
        <w:t>maskuotos</w:t>
      </w:r>
      <w:r w:rsidR="00CF18BC" w:rsidRPr="00067D28">
        <w:rPr>
          <w:rFonts w:eastAsia="Arial"/>
        </w:rPr>
        <w:t xml:space="preserve"> </w:t>
      </w:r>
      <w:r w:rsidR="00067D28" w:rsidRPr="00067D28">
        <w:rPr>
          <w:rFonts w:eastAsia="Arial"/>
        </w:rPr>
        <w:t>procedūros metu. Visų pirminės, antrinių ir žvalgomųjų baigčių įvertinimai buvo kontroliuojami pagal daugybiškumą (lyginama su numatyta SAP riba) bent vienoje populiacijoje, išskyrus MMSE, vMRI matavimus ir saugumo vertinimus. Iš 24 nustatytų rezultatų 23 buvo statistiškai reikšmingi.</w:t>
      </w:r>
    </w:p>
    <w:p w14:paraId="1F07A621" w14:textId="743BA33D" w:rsidR="00445D5B" w:rsidRDefault="0073440F" w:rsidP="00067D28">
      <w:pPr>
        <w:tabs>
          <w:tab w:val="left" w:pos="426"/>
        </w:tabs>
        <w:spacing w:line="276" w:lineRule="auto"/>
        <w:jc w:val="both"/>
        <w:rPr>
          <w:rFonts w:eastAsia="Arial"/>
        </w:rPr>
      </w:pPr>
      <w:r>
        <w:rPr>
          <w:rFonts w:eastAsia="Arial"/>
        </w:rPr>
        <w:tab/>
      </w:r>
      <w:r w:rsidR="00067D28" w:rsidRPr="00067D28">
        <w:rPr>
          <w:rFonts w:eastAsia="Arial"/>
        </w:rPr>
        <w:t>Detaliai įvertinus pateiktus klinikinio tyrimo TRAILBLAZER-ALZ2 rezultatus nustatyta, kad remiantis vertinimo skalėmis iADAS-Cog (</w:t>
      </w:r>
      <w:r w:rsidR="00445D5B">
        <w:rPr>
          <w:rFonts w:eastAsia="Arial"/>
        </w:rPr>
        <w:t xml:space="preserve">Integruotos </w:t>
      </w:r>
      <w:r w:rsidR="00067D28" w:rsidRPr="00067D28">
        <w:rPr>
          <w:rFonts w:eastAsia="Arial"/>
        </w:rPr>
        <w:t xml:space="preserve">Alzheimerio ligos vertinimo </w:t>
      </w:r>
      <w:r w:rsidR="00445D5B">
        <w:rPr>
          <w:rFonts w:eastAsia="Arial"/>
        </w:rPr>
        <w:t>kognityvinė sub</w:t>
      </w:r>
      <w:r w:rsidR="00067D28" w:rsidRPr="00067D28">
        <w:rPr>
          <w:rFonts w:eastAsia="Arial"/>
        </w:rPr>
        <w:t>skalė ) ir CDR-SB (klinikinė demencijos vertinimo skalė) gydant donanemabu pacientus, sergančius ankstyva simptomine A</w:t>
      </w:r>
      <w:r w:rsidR="00445D5B">
        <w:rPr>
          <w:rFonts w:eastAsia="Arial"/>
        </w:rPr>
        <w:t>L</w:t>
      </w:r>
      <w:r w:rsidR="00067D28" w:rsidRPr="00067D28">
        <w:rPr>
          <w:rFonts w:eastAsia="Arial"/>
        </w:rPr>
        <w:t xml:space="preserve"> stadija (t.y. lengvu kognityviniu sutrikimu ir lengva A</w:t>
      </w:r>
      <w:r w:rsidR="00445D5B">
        <w:rPr>
          <w:rFonts w:eastAsia="Arial"/>
        </w:rPr>
        <w:t>L</w:t>
      </w:r>
      <w:r w:rsidR="00067D28" w:rsidRPr="00067D28">
        <w:rPr>
          <w:rFonts w:eastAsia="Arial"/>
        </w:rPr>
        <w:t xml:space="preserve"> demencijos), pasiektas statistiškai reikšmingas skirtumas, kuris rodo </w:t>
      </w:r>
      <w:r w:rsidR="008C5397" w:rsidRPr="00067D28">
        <w:rPr>
          <w:rFonts w:eastAsia="Arial"/>
        </w:rPr>
        <w:t xml:space="preserve">gydymo </w:t>
      </w:r>
      <w:r w:rsidR="00067D28" w:rsidRPr="00067D28">
        <w:rPr>
          <w:rFonts w:eastAsia="Arial"/>
        </w:rPr>
        <w:t>donanemab</w:t>
      </w:r>
      <w:r w:rsidR="008C5397">
        <w:rPr>
          <w:rFonts w:eastAsia="Arial"/>
        </w:rPr>
        <w:t>u</w:t>
      </w:r>
      <w:r w:rsidR="00067D28" w:rsidRPr="00067D28">
        <w:rPr>
          <w:rFonts w:eastAsia="Arial"/>
        </w:rPr>
        <w:t xml:space="preserve"> poveikį </w:t>
      </w:r>
      <w:r w:rsidR="008C5397">
        <w:rPr>
          <w:rFonts w:eastAsia="Arial"/>
        </w:rPr>
        <w:t>palyginus</w:t>
      </w:r>
      <w:r w:rsidR="00067D28" w:rsidRPr="00067D28">
        <w:rPr>
          <w:rFonts w:eastAsia="Arial"/>
        </w:rPr>
        <w:t xml:space="preserve"> su placebu. Tačiau, </w:t>
      </w:r>
      <w:r w:rsidR="00445D5B">
        <w:rPr>
          <w:rFonts w:eastAsia="Arial"/>
        </w:rPr>
        <w:t xml:space="preserve">neaišku, </w:t>
      </w:r>
      <w:r w:rsidR="00067D28" w:rsidRPr="00067D28">
        <w:rPr>
          <w:rFonts w:eastAsia="Arial"/>
        </w:rPr>
        <w:t xml:space="preserve">ar </w:t>
      </w:r>
      <w:r w:rsidR="00445D5B">
        <w:rPr>
          <w:rFonts w:eastAsia="Arial"/>
        </w:rPr>
        <w:t xml:space="preserve">nustatytas skaitinės balų </w:t>
      </w:r>
      <w:r w:rsidR="001006D3">
        <w:rPr>
          <w:rFonts w:eastAsia="Arial"/>
        </w:rPr>
        <w:t>išraiškos skirtumas</w:t>
      </w:r>
      <w:r w:rsidR="001006D3" w:rsidRPr="001006D3">
        <w:rPr>
          <w:rFonts w:eastAsia="Arial"/>
        </w:rPr>
        <w:t xml:space="preserve"> </w:t>
      </w:r>
      <w:r w:rsidR="001006D3">
        <w:rPr>
          <w:rFonts w:eastAsia="Arial"/>
        </w:rPr>
        <w:t xml:space="preserve">tarp </w:t>
      </w:r>
      <w:r w:rsidR="001006D3" w:rsidRPr="00067D28">
        <w:rPr>
          <w:rFonts w:eastAsia="Arial"/>
        </w:rPr>
        <w:t>donanemabo ir placebo grupių</w:t>
      </w:r>
      <w:r>
        <w:rPr>
          <w:rFonts w:eastAsia="Arial"/>
        </w:rPr>
        <w:t>,</w:t>
      </w:r>
      <w:r w:rsidR="001006D3" w:rsidRPr="00067D28">
        <w:rPr>
          <w:rFonts w:eastAsia="Arial"/>
        </w:rPr>
        <w:t xml:space="preserve"> vertinant kognityvinę funkciją ir demencijos sunkumą nuo gydymo pradžios iki 7</w:t>
      </w:r>
      <w:r w:rsidR="00A55199">
        <w:rPr>
          <w:rFonts w:eastAsia="Arial"/>
        </w:rPr>
        <w:t>6</w:t>
      </w:r>
      <w:r w:rsidR="001006D3" w:rsidRPr="00067D28">
        <w:rPr>
          <w:rFonts w:eastAsia="Arial"/>
        </w:rPr>
        <w:t xml:space="preserve"> savaitės</w:t>
      </w:r>
      <w:r>
        <w:rPr>
          <w:rFonts w:eastAsia="Arial"/>
        </w:rPr>
        <w:t>,</w:t>
      </w:r>
      <w:r w:rsidR="001006D3">
        <w:rPr>
          <w:rFonts w:eastAsia="Arial"/>
        </w:rPr>
        <w:t xml:space="preserve"> yra kliniškai reikšmingas.</w:t>
      </w:r>
    </w:p>
    <w:p w14:paraId="7A173CC9" w14:textId="30415F48" w:rsidR="00067D28" w:rsidRPr="00067D28" w:rsidRDefault="00067D28" w:rsidP="00067D28">
      <w:pPr>
        <w:tabs>
          <w:tab w:val="left" w:pos="426"/>
        </w:tabs>
        <w:spacing w:line="276" w:lineRule="auto"/>
        <w:jc w:val="both"/>
        <w:rPr>
          <w:rFonts w:eastAsia="Arial"/>
        </w:rPr>
      </w:pPr>
      <w:r w:rsidRPr="00067D28">
        <w:rPr>
          <w:rFonts w:eastAsia="Arial"/>
        </w:rPr>
        <w:tab/>
        <w:t>Bendrai po 7</w:t>
      </w:r>
      <w:r w:rsidR="00A55199">
        <w:rPr>
          <w:rFonts w:eastAsia="Arial"/>
        </w:rPr>
        <w:t>6</w:t>
      </w:r>
      <w:r w:rsidRPr="00067D28">
        <w:rPr>
          <w:rFonts w:eastAsia="Arial"/>
        </w:rPr>
        <w:t xml:space="preserve"> savaičių gydymo balų skirtumai yra gerokai mažesni už laikomą klinikinėje praktikoje minimalų kliniškai reikšmingą skirtumą vertinant pagal skalių balus. Pavyzdžiui, CDR-SB skalės kliniškai reikšmingu pokyčiu, remiantis „anchor“ metodais, paprastai laikomas ≥1 balas lengvų </w:t>
      </w:r>
      <w:r w:rsidRPr="00067D28">
        <w:rPr>
          <w:rFonts w:eastAsia="Arial"/>
        </w:rPr>
        <w:lastRenderedPageBreak/>
        <w:t xml:space="preserve">kognityvinių sutrikimų stadijoje (angl. </w:t>
      </w:r>
      <w:r w:rsidR="0073440F" w:rsidRPr="00045DDB">
        <w:rPr>
          <w:rFonts w:eastAsia="Arial"/>
        </w:rPr>
        <w:t>Mild Cognitive Impairment</w:t>
      </w:r>
      <w:r w:rsidR="0073440F">
        <w:rPr>
          <w:rFonts w:eastAsia="Arial"/>
        </w:rPr>
        <w:t xml:space="preserve">, </w:t>
      </w:r>
      <w:r w:rsidRPr="00067D28">
        <w:rPr>
          <w:rFonts w:eastAsia="Arial"/>
        </w:rPr>
        <w:t xml:space="preserve">MCI) ir ≥ 2 balais demencijos lengva AD demencijos. </w:t>
      </w:r>
    </w:p>
    <w:p w14:paraId="6F651BE8" w14:textId="774167E9" w:rsidR="001006D3" w:rsidRDefault="00067D28" w:rsidP="00067D28">
      <w:pPr>
        <w:tabs>
          <w:tab w:val="left" w:pos="426"/>
        </w:tabs>
        <w:spacing w:line="276" w:lineRule="auto"/>
        <w:jc w:val="both"/>
        <w:rPr>
          <w:rFonts w:eastAsia="Arial"/>
        </w:rPr>
      </w:pPr>
      <w:r w:rsidRPr="00067D28">
        <w:rPr>
          <w:rFonts w:eastAsia="Arial"/>
        </w:rPr>
        <w:tab/>
      </w:r>
      <w:r w:rsidRPr="004853E0">
        <w:rPr>
          <w:rFonts w:eastAsia="Arial"/>
        </w:rPr>
        <w:t xml:space="preserve">Remiantis TRAILBLAZER-ALZ2 </w:t>
      </w:r>
      <w:r w:rsidR="001006D3" w:rsidRPr="004853E0">
        <w:rPr>
          <w:rFonts w:eastAsia="Arial"/>
        </w:rPr>
        <w:t xml:space="preserve"> tyrimo</w:t>
      </w:r>
      <w:r w:rsidRPr="004853E0">
        <w:rPr>
          <w:rFonts w:eastAsia="Arial"/>
        </w:rPr>
        <w:t xml:space="preserve"> rezultatais, CDR-SB balų skirtumas nuo gydymo pradžios iki 7</w:t>
      </w:r>
      <w:r w:rsidR="00A55199" w:rsidRPr="004853E0">
        <w:rPr>
          <w:rFonts w:eastAsia="Arial"/>
        </w:rPr>
        <w:t>6</w:t>
      </w:r>
      <w:r w:rsidRPr="004853E0">
        <w:rPr>
          <w:rFonts w:eastAsia="Arial"/>
        </w:rPr>
        <w:t xml:space="preserve"> savaitės buvo -0,67 (95 proc. PI: -0,92;-0,43) donanemabo naudai vertinant bendroje </w:t>
      </w:r>
      <w:r w:rsidR="008C5397" w:rsidRPr="004853E0">
        <w:rPr>
          <w:rFonts w:eastAsia="Arial"/>
        </w:rPr>
        <w:t xml:space="preserve">pacientų </w:t>
      </w:r>
      <w:r w:rsidRPr="004853E0">
        <w:rPr>
          <w:rFonts w:eastAsia="Arial"/>
        </w:rPr>
        <w:t>populiacijoje. Vertinant absoliu</w:t>
      </w:r>
      <w:r w:rsidR="001006D3" w:rsidRPr="004853E0">
        <w:rPr>
          <w:rFonts w:eastAsia="Arial"/>
        </w:rPr>
        <w:t>čius</w:t>
      </w:r>
      <w:r w:rsidRPr="004853E0">
        <w:rPr>
          <w:rFonts w:eastAsia="Arial"/>
        </w:rPr>
        <w:t xml:space="preserve"> skirtumus pagal iADRS skalę, pacientų su didel</w:t>
      </w:r>
      <w:r w:rsidR="004A7258" w:rsidRPr="004853E0">
        <w:rPr>
          <w:rFonts w:eastAsia="Arial"/>
        </w:rPr>
        <w:t>ėmis</w:t>
      </w:r>
      <w:r w:rsidR="0073440F" w:rsidRPr="004853E0">
        <w:rPr>
          <w:rFonts w:eastAsia="Arial"/>
        </w:rPr>
        <w:t xml:space="preserve"> </w:t>
      </w:r>
      <w:r w:rsidR="001006D3" w:rsidRPr="004853E0">
        <w:rPr>
          <w:rFonts w:eastAsia="Arial"/>
          <w:i/>
          <w:iCs/>
        </w:rPr>
        <w:t>T</w:t>
      </w:r>
      <w:r w:rsidRPr="004853E0">
        <w:rPr>
          <w:rFonts w:eastAsia="Arial"/>
          <w:i/>
          <w:iCs/>
        </w:rPr>
        <w:t>au</w:t>
      </w:r>
      <w:r w:rsidRPr="004853E0">
        <w:rPr>
          <w:rFonts w:eastAsia="Arial"/>
        </w:rPr>
        <w:t xml:space="preserve"> sankaup</w:t>
      </w:r>
      <w:r w:rsidR="004A7258" w:rsidRPr="004853E0">
        <w:rPr>
          <w:rFonts w:eastAsia="Arial"/>
        </w:rPr>
        <w:t>omis</w:t>
      </w:r>
      <w:r w:rsidRPr="004853E0">
        <w:rPr>
          <w:rFonts w:eastAsia="Arial"/>
        </w:rPr>
        <w:t xml:space="preserve">, </w:t>
      </w:r>
      <w:r w:rsidR="0073440F" w:rsidRPr="004853E0">
        <w:rPr>
          <w:rFonts w:eastAsia="Arial"/>
        </w:rPr>
        <w:t>balų skirtumai</w:t>
      </w:r>
      <w:r w:rsidRPr="004853E0">
        <w:rPr>
          <w:rFonts w:eastAsia="Arial"/>
        </w:rPr>
        <w:t xml:space="preserve"> </w:t>
      </w:r>
      <w:r w:rsidR="00C1141C">
        <w:rPr>
          <w:rFonts w:eastAsia="Arial"/>
        </w:rPr>
        <w:t xml:space="preserve">tarp </w:t>
      </w:r>
      <w:r w:rsidR="00C1141C" w:rsidRPr="00067D28">
        <w:rPr>
          <w:rFonts w:eastAsia="Arial"/>
        </w:rPr>
        <w:t>donanemabo ir placeb</w:t>
      </w:r>
      <w:r w:rsidR="00C1141C">
        <w:rPr>
          <w:rFonts w:eastAsia="Arial"/>
        </w:rPr>
        <w:t>o grupių</w:t>
      </w:r>
      <w:r w:rsidR="00C1141C" w:rsidRPr="00067D28">
        <w:rPr>
          <w:rFonts w:eastAsia="Arial"/>
        </w:rPr>
        <w:t xml:space="preserve"> pacientų</w:t>
      </w:r>
      <w:r w:rsidR="00C1141C" w:rsidRPr="004853E0">
        <w:rPr>
          <w:rFonts w:eastAsia="Arial"/>
        </w:rPr>
        <w:t xml:space="preserve"> </w:t>
      </w:r>
      <w:r w:rsidRPr="004853E0">
        <w:rPr>
          <w:rFonts w:eastAsia="Arial"/>
        </w:rPr>
        <w:t>buvo ne tik kliniškai</w:t>
      </w:r>
      <w:r w:rsidR="001006D3" w:rsidRPr="004853E0">
        <w:rPr>
          <w:rFonts w:eastAsia="Arial"/>
        </w:rPr>
        <w:t>,</w:t>
      </w:r>
      <w:r w:rsidRPr="004853E0">
        <w:rPr>
          <w:rFonts w:eastAsia="Arial"/>
        </w:rPr>
        <w:t xml:space="preserve"> bet ir statistiškai nereikšmingi</w:t>
      </w:r>
      <w:r w:rsidRPr="00067D28">
        <w:rPr>
          <w:rFonts w:eastAsia="Arial"/>
        </w:rPr>
        <w:t>.</w:t>
      </w:r>
    </w:p>
    <w:p w14:paraId="367CE966" w14:textId="5294AA53" w:rsidR="00555937" w:rsidRPr="009D1F01" w:rsidRDefault="001006D3" w:rsidP="009D1F01">
      <w:pPr>
        <w:pStyle w:val="Sraopastraipa"/>
        <w:numPr>
          <w:ilvl w:val="0"/>
          <w:numId w:val="16"/>
        </w:numPr>
        <w:tabs>
          <w:tab w:val="left" w:pos="426"/>
        </w:tabs>
        <w:spacing w:line="276" w:lineRule="auto"/>
        <w:jc w:val="both"/>
        <w:rPr>
          <w:rFonts w:eastAsia="Arial"/>
        </w:rPr>
      </w:pPr>
      <w:r w:rsidRPr="009D1F01">
        <w:rPr>
          <w:rFonts w:eastAsia="Arial"/>
        </w:rPr>
        <w:t xml:space="preserve">Įvertinus saugumo duomenis, nustatyta, kad </w:t>
      </w:r>
      <w:r w:rsidR="00067D28" w:rsidRPr="009D1F01">
        <w:rPr>
          <w:rFonts w:eastAsia="Arial"/>
        </w:rPr>
        <w:t>vartojant donanemab</w:t>
      </w:r>
      <w:r w:rsidRPr="009D1F01">
        <w:rPr>
          <w:rFonts w:eastAsia="Arial"/>
        </w:rPr>
        <w:t>o</w:t>
      </w:r>
      <w:r w:rsidR="00067D28" w:rsidRPr="009D1F01">
        <w:rPr>
          <w:rFonts w:eastAsia="Arial"/>
        </w:rPr>
        <w:t xml:space="preserve">, </w:t>
      </w:r>
      <w:r w:rsidR="00555937" w:rsidRPr="009D1F01">
        <w:rPr>
          <w:rFonts w:eastAsia="Arial"/>
        </w:rPr>
        <w:t xml:space="preserve">dažniau </w:t>
      </w:r>
      <w:r w:rsidR="00C1141C" w:rsidRPr="009D1F01">
        <w:rPr>
          <w:rFonts w:eastAsia="Arial"/>
        </w:rPr>
        <w:t xml:space="preserve">nei vartojant placebo, </w:t>
      </w:r>
      <w:r w:rsidR="00555937" w:rsidRPr="009D1F01">
        <w:rPr>
          <w:rFonts w:eastAsia="Arial"/>
        </w:rPr>
        <w:t>gali pasitaikyti potencialiai sunkių nepageidaujamų reiškinių, tokių kaip su amiloidu susiję vaizdinių tyrimų pakitimai (angl</w:t>
      </w:r>
      <w:r w:rsidR="004853E0" w:rsidRPr="009D1F01">
        <w:rPr>
          <w:rFonts w:eastAsia="Arial"/>
        </w:rPr>
        <w:t>.</w:t>
      </w:r>
      <w:r w:rsidR="00555937" w:rsidRPr="009D1F01">
        <w:rPr>
          <w:rFonts w:eastAsia="Arial"/>
        </w:rPr>
        <w:t>, Amyloid-Related Imaging Abnormalities ARIA), pasireiškian</w:t>
      </w:r>
      <w:r w:rsidR="00C1141C" w:rsidRPr="009D1F01">
        <w:rPr>
          <w:rFonts w:eastAsia="Arial"/>
        </w:rPr>
        <w:t>tys</w:t>
      </w:r>
      <w:r w:rsidR="00555937" w:rsidRPr="009D1F01">
        <w:rPr>
          <w:rFonts w:eastAsia="Arial"/>
        </w:rPr>
        <w:t xml:space="preserve"> kaip vazogeninė edema (ARIA E) ar mikrohemoragijos (ARIA H)</w:t>
      </w:r>
      <w:r w:rsidR="004853E0" w:rsidRPr="009D1F01">
        <w:rPr>
          <w:rFonts w:eastAsia="Arial"/>
        </w:rPr>
        <w:t xml:space="preserve">. </w:t>
      </w:r>
      <w:r w:rsidR="00555937" w:rsidRPr="009D1F01">
        <w:rPr>
          <w:rFonts w:eastAsia="Arial"/>
        </w:rPr>
        <w:t xml:space="preserve">Didesnė ARIA E ir ARIA H atsiradimo rizika yra pacientams, turintiems APOE </w:t>
      </w:r>
      <w:r w:rsidR="00555937" w:rsidRPr="00824094">
        <w:t xml:space="preserve"> ε</w:t>
      </w:r>
      <w:r w:rsidR="00555937" w:rsidRPr="009D1F01">
        <w:rPr>
          <w:rFonts w:eastAsia="Arial"/>
        </w:rPr>
        <w:t xml:space="preserve"> 4 alelį, ypač homozigotams, taip pat asmenims, kuriems prieš pradedant tyrimą nustatytas daug smegenų mikrohemoragijų vietų, tikriausiai atspindinčių amiloidinę angiopatiją.</w:t>
      </w:r>
    </w:p>
    <w:p w14:paraId="0E0F841C" w14:textId="72841266" w:rsidR="005A3D05" w:rsidRPr="00824094" w:rsidRDefault="00067D28" w:rsidP="005A3D05">
      <w:pPr>
        <w:tabs>
          <w:tab w:val="left" w:pos="426"/>
        </w:tabs>
        <w:spacing w:line="276" w:lineRule="auto"/>
        <w:jc w:val="both"/>
        <w:rPr>
          <w:bCs/>
          <w:color w:val="000000"/>
          <w:lang w:eastAsia="lt-LT"/>
        </w:rPr>
      </w:pPr>
      <w:r w:rsidRPr="00067D28">
        <w:rPr>
          <w:rFonts w:eastAsia="Arial"/>
        </w:rPr>
        <w:tab/>
        <w:t>Apibendrinant, TRAILBLAZER-ALZ2 tyrimo klinikinių duomen</w:t>
      </w:r>
      <w:r w:rsidR="005A3D05">
        <w:rPr>
          <w:rFonts w:eastAsia="Arial"/>
        </w:rPr>
        <w:t>ys</w:t>
      </w:r>
      <w:r w:rsidRPr="00067D28">
        <w:rPr>
          <w:rFonts w:eastAsia="Arial"/>
        </w:rPr>
        <w:t xml:space="preserve"> parodė, kad donanemabo sukuriama klinikinė nauda pakankamai neapibrėžta, nes </w:t>
      </w:r>
      <w:r w:rsidR="005A3D05" w:rsidRPr="00824094">
        <w:rPr>
          <w:rFonts w:eastAsia="Arial"/>
        </w:rPr>
        <w:t xml:space="preserve">gydymas </w:t>
      </w:r>
      <w:r w:rsidR="005A3D05" w:rsidRPr="00067D28">
        <w:rPr>
          <w:rFonts w:eastAsia="Arial"/>
        </w:rPr>
        <w:t>donanemab</w:t>
      </w:r>
      <w:r w:rsidR="005A3D05">
        <w:rPr>
          <w:rFonts w:eastAsia="Arial"/>
        </w:rPr>
        <w:t>u</w:t>
      </w:r>
      <w:r w:rsidR="005A3D05" w:rsidRPr="00824094">
        <w:rPr>
          <w:rFonts w:eastAsia="Arial"/>
        </w:rPr>
        <w:t xml:space="preserve"> galimai turi nedidelį poveikio demencijos sulėtėjimui ir atminties </w:t>
      </w:r>
      <w:r w:rsidR="005A3D05">
        <w:rPr>
          <w:rFonts w:eastAsia="Arial"/>
        </w:rPr>
        <w:t xml:space="preserve">bei </w:t>
      </w:r>
      <w:r w:rsidR="005A3D05" w:rsidRPr="00824094">
        <w:rPr>
          <w:rFonts w:eastAsia="Arial"/>
        </w:rPr>
        <w:t>mąstymo gebėjimų išlaikymui, nors gali šiek tiek pagerinti sudėtingesnių kasdieninių užduočių vykdymą pacientams, sergantiems ankstyva simptomine A</w:t>
      </w:r>
      <w:r w:rsidR="00CE395C">
        <w:rPr>
          <w:rFonts w:eastAsia="Arial"/>
        </w:rPr>
        <w:t>L</w:t>
      </w:r>
      <w:r w:rsidR="005A3D05" w:rsidRPr="00824094">
        <w:rPr>
          <w:rFonts w:eastAsia="Arial"/>
        </w:rPr>
        <w:t xml:space="preserve"> stadija. Šiuo metu trūksta ilgalaikio gydymo </w:t>
      </w:r>
      <w:r w:rsidR="005A3D05" w:rsidRPr="00067D28">
        <w:rPr>
          <w:rFonts w:eastAsia="Arial"/>
        </w:rPr>
        <w:t>donanemab</w:t>
      </w:r>
      <w:r w:rsidR="005A3D05">
        <w:rPr>
          <w:rFonts w:eastAsia="Arial"/>
        </w:rPr>
        <w:t>u</w:t>
      </w:r>
      <w:r w:rsidR="005A3D05" w:rsidRPr="00824094">
        <w:rPr>
          <w:rFonts w:eastAsia="Arial"/>
        </w:rPr>
        <w:t xml:space="preserve"> veiksmingumo duomenų, kurie galėtų patvirtinti AL progresavimo sulėtėjimo tendenciją po 18 gydymo mėnesių</w:t>
      </w:r>
      <w:r w:rsidR="005A3D05">
        <w:rPr>
          <w:rFonts w:eastAsia="Arial"/>
        </w:rPr>
        <w:t xml:space="preserve"> </w:t>
      </w:r>
      <w:r w:rsidR="005A3D05" w:rsidRPr="002411ED">
        <w:rPr>
          <w:iCs/>
        </w:rPr>
        <w:t>ir pademonstruotų kliniškai reikšmingus pokyčius gydant pacientus su ankstyva AL</w:t>
      </w:r>
      <w:r w:rsidR="005A3D05" w:rsidRPr="001678DC">
        <w:rPr>
          <w:i/>
        </w:rPr>
        <w:t>.</w:t>
      </w:r>
      <w:r w:rsidR="005A3D05" w:rsidRPr="00824094">
        <w:rPr>
          <w:rFonts w:eastAsia="Arial"/>
        </w:rPr>
        <w:t xml:space="preserve"> Vis dėl to </w:t>
      </w:r>
      <w:r w:rsidR="005A3D05" w:rsidRPr="004853E0">
        <w:rPr>
          <w:rFonts w:eastAsia="Arial"/>
          <w:b/>
          <w:bCs/>
        </w:rPr>
        <w:t>atsižvelgiant į statistiškai reikšmingą skirtumą tarp palyginamųjų gydymų pagal pirminės ir antrinių baigčių rezultatus</w:t>
      </w:r>
      <w:r w:rsidR="00C1141C">
        <w:rPr>
          <w:rFonts w:eastAsia="Arial"/>
          <w:b/>
          <w:bCs/>
        </w:rPr>
        <w:t>,</w:t>
      </w:r>
      <w:r w:rsidR="005A3D05" w:rsidRPr="004853E0">
        <w:rPr>
          <w:rFonts w:eastAsia="Arial"/>
          <w:b/>
          <w:bCs/>
        </w:rPr>
        <w:t xml:space="preserve"> </w:t>
      </w:r>
      <w:r w:rsidR="004853E0" w:rsidRPr="004853E0">
        <w:rPr>
          <w:rFonts w:eastAsia="Arial"/>
          <w:b/>
          <w:bCs/>
        </w:rPr>
        <w:t>donanemabo</w:t>
      </w:r>
      <w:r w:rsidR="005A3D05" w:rsidRPr="004853E0">
        <w:rPr>
          <w:rFonts w:eastAsia="Arial"/>
          <w:b/>
          <w:bCs/>
        </w:rPr>
        <w:t xml:space="preserve"> veiksmingumas laikomas didesnis </w:t>
      </w:r>
      <w:r w:rsidR="005A3D05" w:rsidRPr="004853E0">
        <w:rPr>
          <w:b/>
          <w:bCs/>
          <w:color w:val="000000"/>
          <w:lang w:eastAsia="lt-LT"/>
        </w:rPr>
        <w:t>palyginus su įprasta</w:t>
      </w:r>
      <w:r w:rsidR="005A3D05" w:rsidRPr="00824094">
        <w:rPr>
          <w:bCs/>
          <w:color w:val="000000"/>
          <w:lang w:eastAsia="lt-LT"/>
        </w:rPr>
        <w:t xml:space="preserve"> klinikine praktika.</w:t>
      </w:r>
    </w:p>
    <w:p w14:paraId="044BD681" w14:textId="77777777" w:rsidR="005A3D05" w:rsidRPr="00334F18" w:rsidRDefault="005A3D05" w:rsidP="005A3D05">
      <w:pPr>
        <w:pStyle w:val="Sraopastraipa"/>
        <w:tabs>
          <w:tab w:val="left" w:pos="426"/>
        </w:tabs>
        <w:ind w:left="0"/>
        <w:rPr>
          <w:b/>
          <w:bCs/>
          <w:caps/>
        </w:rPr>
      </w:pPr>
    </w:p>
    <w:p w14:paraId="39C1ADA8" w14:textId="77777777" w:rsidR="00AC5129" w:rsidRPr="00334F18" w:rsidRDefault="00AC5129" w:rsidP="00A93AA6">
      <w:pPr>
        <w:pStyle w:val="Sraopastraipa"/>
        <w:tabs>
          <w:tab w:val="left" w:pos="426"/>
        </w:tabs>
        <w:ind w:left="0"/>
        <w:rPr>
          <w:b/>
          <w:bCs/>
          <w:caps/>
        </w:rPr>
      </w:pPr>
    </w:p>
    <w:p w14:paraId="7DE09EB5" w14:textId="69E9DD74" w:rsidR="00E03C3F" w:rsidRPr="00334F18" w:rsidRDefault="00CC7832" w:rsidP="00CC09D4">
      <w:pPr>
        <w:pStyle w:val="Sraopastraipa"/>
        <w:numPr>
          <w:ilvl w:val="0"/>
          <w:numId w:val="12"/>
        </w:numPr>
        <w:tabs>
          <w:tab w:val="left" w:pos="567"/>
        </w:tabs>
        <w:ind w:hanging="720"/>
        <w:rPr>
          <w:b/>
          <w:bCs/>
          <w:caps/>
        </w:rPr>
      </w:pPr>
      <w:r w:rsidRPr="00334F18">
        <w:rPr>
          <w:b/>
          <w:bCs/>
          <w:caps/>
        </w:rPr>
        <w:t xml:space="preserve">ekonominio vertinimo </w:t>
      </w:r>
      <w:r w:rsidR="002F0E4F" w:rsidRPr="00334F18">
        <w:rPr>
          <w:b/>
          <w:bCs/>
          <w:caps/>
        </w:rPr>
        <w:t>apibendrinimas</w:t>
      </w:r>
    </w:p>
    <w:p w14:paraId="1A900598" w14:textId="4826E5DF" w:rsidR="00C62B36" w:rsidRDefault="00C62B36" w:rsidP="00A93AA6">
      <w:pPr>
        <w:tabs>
          <w:tab w:val="left" w:pos="426"/>
        </w:tabs>
        <w:rPr>
          <w:i/>
        </w:rPr>
      </w:pPr>
    </w:p>
    <w:p w14:paraId="1A49AC3E" w14:textId="77777777" w:rsidR="00E71C23" w:rsidRPr="00555937" w:rsidRDefault="00E71C23" w:rsidP="00555937">
      <w:pPr>
        <w:spacing w:line="276" w:lineRule="auto"/>
        <w:jc w:val="both"/>
        <w:rPr>
          <w:lang w:eastAsia="lt-LT"/>
        </w:rPr>
      </w:pPr>
      <w:r w:rsidRPr="00555937">
        <w:rPr>
          <w:rFonts w:eastAsia="Arial"/>
        </w:rPr>
        <w:t xml:space="preserve">Klinikinio vertinimo metu nustačius </w:t>
      </w:r>
      <w:r w:rsidRPr="00555937">
        <w:rPr>
          <w:rFonts w:eastAsia="Arial"/>
          <w:i/>
          <w:iCs/>
        </w:rPr>
        <w:t xml:space="preserve">didesnį </w:t>
      </w:r>
      <w:r w:rsidRPr="00555937">
        <w:rPr>
          <w:rFonts w:eastAsia="Arial"/>
        </w:rPr>
        <w:t>palyginamąjį veiksmingumą lyginant su įprasta klinikine praktika,</w:t>
      </w:r>
      <w:r w:rsidRPr="00555937">
        <w:t xml:space="preserve"> atliekamas </w:t>
      </w:r>
      <w:r w:rsidRPr="00555937">
        <w:rPr>
          <w:rFonts w:eastAsia="Arial"/>
          <w:bCs/>
          <w:szCs w:val="22"/>
        </w:rPr>
        <w:t xml:space="preserve">kaštų </w:t>
      </w:r>
      <w:r w:rsidRPr="00555937">
        <w:rPr>
          <w:rFonts w:eastAsia="Arial"/>
          <w:i/>
          <w:iCs/>
          <w:szCs w:val="22"/>
        </w:rPr>
        <w:t>naudingumo</w:t>
      </w:r>
      <w:r w:rsidRPr="00555937">
        <w:rPr>
          <w:rFonts w:eastAsia="Arial"/>
          <w:bCs/>
          <w:szCs w:val="22"/>
        </w:rPr>
        <w:t xml:space="preserve"> analizės vertinimas</w:t>
      </w:r>
      <w:r w:rsidRPr="00555937">
        <w:t xml:space="preserve">. </w:t>
      </w:r>
      <w:r w:rsidRPr="00555937">
        <w:rPr>
          <w:lang w:eastAsia="lt-LT"/>
        </w:rPr>
        <w:t xml:space="preserve">Į ekonominę analizę įtraukti pacientai atitinka kompensacijai teikiamas terapines indikacijas. Analizėje nagrinėjama populiacija atitinka </w:t>
      </w:r>
      <w:r w:rsidRPr="00555937">
        <w:t xml:space="preserve">TRAILBLAZER-ALZ 2 klinikinio tyrimo populiaciją. </w:t>
      </w:r>
      <w:r w:rsidRPr="00555937">
        <w:rPr>
          <w:rFonts w:eastAsia="Arial"/>
          <w:bCs/>
          <w:szCs w:val="22"/>
        </w:rPr>
        <w:t xml:space="preserve">Ekonominėje analizėje pateiktas palyginamasis gydymas atitinka įprastą Lietuvos Respublikos klinikinę praktiką. Analizėje nagrinėjamas intervencinis gydymas – donanemabas, vartojamas intravenine infuzija kas 4 savaites. Pradinės trys dozės vartojamos po 700 mg, titruojama iki 1400 mg ketvirtos dozės. Palyginamasis gydymas – geriausia prieinama priežiūra. </w:t>
      </w:r>
      <w:r w:rsidRPr="00555937">
        <w:t xml:space="preserve">Dozavimas ir gydymo trukmė ekonominėje analizėje atitinka klinikiniuose įrodymuose pateiktą informaciją. Pacientai gydymą gali nutraukti ties 6 arba 12 mėn. (jei pasiekiamas amiloido klirensas). Gydymo trukmė modelyje apribojama iki 18 mėn., remiantis preparato charakteristikų santrauka ir klinikinio tyrimo duomenimis. Kaštai ir nauda diskontuoti pagal teisės aktuose nustatytus paraiškos rengimo taisyklių reikalavimus. Taikytas 3,5% diskontavimas. Analizė atlikta iš PSDF biudžeto perspektyvos, įtraukti tiesiogiai su sveikatos sistema susiję kaštai. Tai atitinka teisės aktuose nustatytus paraiškos rengimo taisyklių reikalavimus. Papildomai modelyje suteikta galimybė analizuoti socialinę perspektyvą – įtraukti pacientą prižiūrinčių asmenų gyvenimo kokybę, tai atitinka SAM įsakymu V-159 patvirtintų Paraiškos įrašyti vaistinį preparatą į kompensavimo sąrašus rengimo taisyklių 124 punktą: „Kitos, pareiškėjo </w:t>
      </w:r>
      <w:r w:rsidRPr="00555937">
        <w:lastRenderedPageBreak/>
        <w:t xml:space="preserve">nuomone, svarbios ekonominės analizės perspektyvos gali būti įtrauktos kaip papildoma informacija.“ Pagrindinio atvejo analizėje nagrinėjami tiesiogiai su sveikatos sistema susiję kaštai ir nauda pacientui. </w:t>
      </w:r>
      <w:r w:rsidRPr="00555937">
        <w:rPr>
          <w:lang w:eastAsia="lt-LT"/>
        </w:rPr>
        <w:t xml:space="preserve">Analizėje taikoma viso gyvenimo laiko perspektyva. Pasirinkta laiko perspektyva yra tinkama. </w:t>
      </w:r>
      <w:r w:rsidRPr="00555937">
        <w:rPr>
          <w:lang w:eastAsia="en-GB"/>
        </w:rPr>
        <w:t>Analizėje taikomas Markovo kohortos būklių perėjimo modelis – analizės struktūra yra tinkama analizės rezultato apskaičiavimui.</w:t>
      </w:r>
    </w:p>
    <w:p w14:paraId="17617355" w14:textId="77777777" w:rsidR="00E71C23" w:rsidRPr="00555937" w:rsidRDefault="00E71C23" w:rsidP="00555937">
      <w:pPr>
        <w:pStyle w:val="Pagrindinistekstas"/>
        <w:spacing w:line="276" w:lineRule="auto"/>
        <w:ind w:firstLine="0"/>
        <w:jc w:val="both"/>
        <w:rPr>
          <w:lang w:val="lt-LT"/>
        </w:rPr>
      </w:pPr>
      <w:r w:rsidRPr="00555937">
        <w:rPr>
          <w:lang w:val="lt-LT"/>
        </w:rPr>
        <w:t>Pareiškėjas vertinamas ligos progresiją modelyje taikė CDR-SB skalės pokyčio (pažinimu ir funkcija pagrįstas) metodą. modelyje pateikta galimybė gydymo poveikį vertinti ne pagal CDR-SB, o pagal iADRS. Atsižvelgiant į tai, jog iADRS skalės balo santykinis pokytis, yra klinikinio tyrimo pagrindinė vertinamoji baigtis, Tarnybos atliktoje scenarijų analizėje, papildomai nagrinėjamas scenarijus, kuriame gydymo efektyvumas vertinamas pagal iADRS skalės balo pokytį.</w:t>
      </w:r>
    </w:p>
    <w:p w14:paraId="10924F2F" w14:textId="69C54113" w:rsidR="00E71C23" w:rsidRPr="00555937" w:rsidRDefault="00E71C23" w:rsidP="00555937">
      <w:pPr>
        <w:pStyle w:val="Pagrindinistekstas"/>
        <w:spacing w:line="276" w:lineRule="auto"/>
        <w:ind w:firstLine="0"/>
        <w:jc w:val="both"/>
        <w:rPr>
          <w:lang w:val="lt-LT"/>
        </w:rPr>
      </w:pPr>
      <w:r w:rsidRPr="00555937">
        <w:rPr>
          <w:lang w:val="lt-LT"/>
        </w:rPr>
        <w:t>Pareiškėjas paraiškoje įvardina, jog taiko ligai specifinį mirtingumą iš Liang et al., 2021 publikacijos, kurioje HR AD demencijai yra 3,7 (95% CIs: 1.99, 6.88), tačiau modelyje tokio pasirinkimo nėra (pateiktas rizikos santykis atitinka Meta-analysis šaltinį). Modelyje ligai specifiniam mirtingumui įvertinti pateikti 3 šaltiniai: Office for National Statistics (ONS), Meta-analysis, NACC Analysis. Pirmuose dviejuose šaltiniuose pateikti HR yra vienodi skirtingoms ligos stadijoms, o NACC šaltinyje mirtingumo rizika skirtingose ligos stadijose yra skirtinga (tačiau skirtumas tarp HR skirtingose ligos stadijose yra mažas, Tarnybos klinikinių ekspertų nuomone, per mažas). Tarnybos ekspertai sutinka, jog mirtingumo rizika turėtų būti skirtinga skirtingoms ligos stadijoms – mažiausia lengvai A</w:t>
      </w:r>
      <w:r w:rsidR="00952404">
        <w:rPr>
          <w:lang w:val="lt-LT"/>
        </w:rPr>
        <w:t>L</w:t>
      </w:r>
      <w:r w:rsidRPr="00555937">
        <w:rPr>
          <w:lang w:val="lt-LT"/>
        </w:rPr>
        <w:t xml:space="preserve"> demencijai, o didžiausia – sunkiai A</w:t>
      </w:r>
      <w:r w:rsidR="00952404">
        <w:rPr>
          <w:lang w:val="lt-LT"/>
        </w:rPr>
        <w:t>L</w:t>
      </w:r>
      <w:r w:rsidRPr="00555937">
        <w:rPr>
          <w:lang w:val="lt-LT"/>
        </w:rPr>
        <w:t xml:space="preserve"> demencijai. NACC šaltinyje pateikta skirtinga mirtingumo rizika lengvai, vidutinio sunkumo ir sunkiai A</w:t>
      </w:r>
      <w:r w:rsidR="00952404">
        <w:rPr>
          <w:lang w:val="lt-LT"/>
        </w:rPr>
        <w:t>L</w:t>
      </w:r>
      <w:r w:rsidRPr="00555937">
        <w:rPr>
          <w:lang w:val="lt-LT"/>
        </w:rPr>
        <w:t xml:space="preserve"> demencijai, tačiau skirtumas tarp HR lengvai ir vidutinio sunkumo rizikai yra minimalu</w:t>
      </w:r>
      <w:r w:rsidR="00A55199">
        <w:rPr>
          <w:lang w:val="lt-LT"/>
        </w:rPr>
        <w:t>s</w:t>
      </w:r>
      <w:r w:rsidRPr="00555937">
        <w:rPr>
          <w:lang w:val="lt-LT"/>
        </w:rPr>
        <w:t>, o sunkios A</w:t>
      </w:r>
      <w:r w:rsidR="00952404">
        <w:rPr>
          <w:lang w:val="lt-LT"/>
        </w:rPr>
        <w:t>L</w:t>
      </w:r>
      <w:r w:rsidRPr="00555937">
        <w:rPr>
          <w:lang w:val="lt-LT"/>
        </w:rPr>
        <w:t xml:space="preserve"> atveju, tikėtina, per mažas, todėl tarnybos vertinimu, papildoma rizika šiame šaltinyje yra galimai nuvertinama.</w:t>
      </w:r>
      <w:r w:rsidR="00A55199">
        <w:rPr>
          <w:lang w:val="lt-LT"/>
        </w:rPr>
        <w:t xml:space="preserve"> </w:t>
      </w:r>
      <w:r w:rsidRPr="00555937">
        <w:rPr>
          <w:lang w:val="lt-LT"/>
        </w:rPr>
        <w:t>Tarnyba pabrėžia, jog mirtingumo įvertinimas analizėje pasižymi dideliu neapibrėžtumu, nes Pareiškėjas taikė statistinius metodus, siekdamas iš bendrosios populiacijos mirtingumo pašalinti mirtingumą dėl demencijos, po to – taikė papildomą riziką pacientų mirtingumui, siekdamas pritaikyti bendrosios populiacijos mirtingumą pacientams, sergantiems A</w:t>
      </w:r>
      <w:r w:rsidR="00952404">
        <w:rPr>
          <w:lang w:val="lt-LT"/>
        </w:rPr>
        <w:t>L</w:t>
      </w:r>
      <w:r w:rsidRPr="00555937">
        <w:rPr>
          <w:lang w:val="lt-LT"/>
        </w:rPr>
        <w:t xml:space="preserve"> demencija. </w:t>
      </w:r>
      <w:r w:rsidRPr="00555937">
        <w:rPr>
          <w:szCs w:val="24"/>
          <w:lang w:val="lt-LT" w:eastAsia="lt-LT"/>
        </w:rPr>
        <w:t>Tarnyba paraleliai atlieka ir kito vaistinio preparato paraiškos vertinimą, kurioje nagrinėjama ta pati kompensavimui siūloma indikacija</w:t>
      </w:r>
      <w:r w:rsidRPr="00555937">
        <w:rPr>
          <w:lang w:val="lt-LT"/>
        </w:rPr>
        <w:t xml:space="preserve"> (nagrinėjamos populiacijos iš esmės sutampa). Kito gamintojo pateiktoje paraiškoje pateikti Tarnybos klinikiniams ekspertams priimtinesni HR ligai specifiniam mirtingumui, kur mirtingumo rizika skiriasi ligai progresuojant. Atsižvelgiant į Pareiškėjo pateiktus šaltinius, Tarnyba vertina, jog Pareiškėjo pateikti šaltiniai nėra tinkami ligai specifiniam mirtingumui įvertinti, todėl Tarnyba pagrindinio atvejo analizėje taiko kito pareiškėjo pateiktą šaltinį Crowell et al., 2023 (NICE EAG base case). Pažymime, jog šiuo metu nėra ilgalaikių klinikinių įrodymų, kurie patvirtintų, jog donanemabas mažina pacientų mirtingumą ir gerina išgyenamumą, todėl ilgalaikėje perspektyvoje sugeneruojama nauda išgyvenamumui turėtų vertinti turint omenyje analizės neapibrėžtumą. Ilgalaikėje perspektyvoje sugeneruojama nauda išgyvenamumui nėra pagrįsta ilgalaikio stebėjimo klinikiniais duomenimis.</w:t>
      </w:r>
    </w:p>
    <w:p w14:paraId="57F4869B" w14:textId="714E105F" w:rsidR="00E71C23" w:rsidRPr="00555937" w:rsidRDefault="00E71C23" w:rsidP="00555937">
      <w:pPr>
        <w:pStyle w:val="Pagrindinistekstas"/>
        <w:spacing w:line="276" w:lineRule="auto"/>
        <w:ind w:firstLine="0"/>
        <w:jc w:val="both"/>
        <w:rPr>
          <w:lang w:val="lt-LT"/>
        </w:rPr>
      </w:pPr>
      <w:r w:rsidRPr="00555937">
        <w:rPr>
          <w:lang w:val="lt-LT"/>
        </w:rPr>
        <w:t>Pareiškėjas teigia, jog A</w:t>
      </w:r>
      <w:r w:rsidR="00952404">
        <w:rPr>
          <w:lang w:val="lt-LT"/>
        </w:rPr>
        <w:t>L</w:t>
      </w:r>
      <w:r w:rsidRPr="00555937">
        <w:rPr>
          <w:lang w:val="lt-LT"/>
        </w:rPr>
        <w:t xml:space="preserve"> demencija sukuria didelę naštą pacientą prižiūrintiems asmenims. Pareiškėjas teigia, jog artimųjų našta didėja priklausomai nuo ligos sunkumo. Papildomai reiktų įvertinti, jog dėl paciento priežiūros, artimieji gali vėluoti į darbą, yra priversti imti laisvadienius – gali sumažėti jų produktyvumas. Dėl šių priežasčių Pareiškėjas pagrindinio atvejo analizėje taiko gyvenimo kokybės sumažėjimą pacientą prižiūrintiems asmenims. Pacientą prižiūrinčių asmenų gyvenimo kokybės įverčiai nėra laikomi tiesioginės PSDF biudžeto perspektyvos dalimi ir nėra įtraukiami į tiesioginės (PSDF biudžeto) perspektyvos analizę, todėl pagrindinio atvejo analizėje nėra įtraukiami. Scenarijus, kuriame įtraukiami pacientą prižiūrinčių asmenų gyvenimo kokybės įverčiai, nagrinėjamas scenarijų analizėje. </w:t>
      </w:r>
    </w:p>
    <w:p w14:paraId="5ADCBB8D" w14:textId="77777777" w:rsidR="00E71C23" w:rsidRPr="00555937" w:rsidRDefault="00E71C23" w:rsidP="00555937">
      <w:pPr>
        <w:pStyle w:val="Pagrindinistekstas"/>
        <w:spacing w:line="276" w:lineRule="auto"/>
        <w:ind w:firstLine="0"/>
        <w:jc w:val="both"/>
        <w:rPr>
          <w:szCs w:val="24"/>
          <w:lang w:val="lt-LT" w:eastAsia="lt-LT"/>
        </w:rPr>
      </w:pPr>
      <w:r w:rsidRPr="00555937">
        <w:rPr>
          <w:lang w:val="lt-LT"/>
        </w:rPr>
        <w:lastRenderedPageBreak/>
        <w:t>Modelyje pacientų gyvenimo kokybė vertinama pagal ligos sunkumą. Taikomas Landeiro et al., 2020 šaltinis, o papildomai</w:t>
      </w:r>
      <w:r w:rsidRPr="00555937">
        <w:rPr>
          <w:szCs w:val="24"/>
          <w:lang w:val="lt-LT" w:eastAsia="lt-LT"/>
        </w:rPr>
        <w:t xml:space="preserve"> pateiktas alternatyvus gyvenimo kokybės įverčių šaltinis – GERAS publikacija, tačiau nurodyti tokie patys įverčiai, kaip ir pagrindinio atvejo analizėje (Landeiro et al publikacija), tai kelia dvejonių dėl šaltinio įtraukimo teisingumo. Tarnyba informuoja, jog šiuo metu negali įvertinti, ar analizėje naudojami gyvenimo kokybės įverčiai yra tinkami rezultato apskaičiavimui, nes nėra pateikta gyvenimo kokybės įverčių alternatyvios vertės. Tarnyba informuoja, jog vienu metu atliekami dviejų vaistinių preparatų vertinimai, kuriuose nagrinėjama ta pati pacientų populiacija. Kitoje pateiktoje paraiškoje pateiktas gyvenimo kokybės šaltinis taip pat iš Landeiro et al., 2020, tačiau įverčiai, naudoti analizėse, skiriasi, ypatingai sunkesnėse ligos stadijose. </w:t>
      </w:r>
      <w:r w:rsidRPr="00555937">
        <w:rPr>
          <w:lang w:val="lt-LT"/>
        </w:rPr>
        <w:t>Tarnyba pabrėžia, jog siekiant vertinimų tęstinumo, panašumo, atkartojamumo, vienodi gyvenimo kokybės įverčiai taikomi ir Tarnybos paraleliai atliekamame vertinime kito vaistinio preparato paraiškai, skirtai tai pačiai kompensuoti siūlomai indikacijai</w:t>
      </w:r>
      <w:r w:rsidRPr="00555937">
        <w:rPr>
          <w:szCs w:val="24"/>
          <w:lang w:val="lt-LT" w:eastAsia="lt-LT"/>
        </w:rPr>
        <w:t>. Taikomi vienodi gyvenimo kokybės įverčiai sveikatos būklėse, nepriklausomai nuo gaunamo gydymo.</w:t>
      </w:r>
    </w:p>
    <w:p w14:paraId="611408DB" w14:textId="77777777" w:rsidR="00E71C23" w:rsidRPr="00555937" w:rsidRDefault="00E71C23" w:rsidP="00555937">
      <w:pPr>
        <w:pStyle w:val="Pagrindinistekstas"/>
        <w:spacing w:line="276" w:lineRule="auto"/>
        <w:ind w:firstLine="0"/>
        <w:jc w:val="both"/>
        <w:rPr>
          <w:szCs w:val="24"/>
          <w:lang w:val="lt-LT" w:eastAsia="lt-LT"/>
        </w:rPr>
      </w:pPr>
      <w:r w:rsidRPr="00555937">
        <w:rPr>
          <w:szCs w:val="24"/>
          <w:lang w:val="lt-LT" w:eastAsia="lt-LT"/>
        </w:rPr>
        <w:t>Analizėje taikomas gyvenimo kokybės įverčių sumažėjimas dėl nepageidaujamų reiškinių.</w:t>
      </w:r>
    </w:p>
    <w:p w14:paraId="58A4A455" w14:textId="77777777" w:rsidR="00E71C23" w:rsidRPr="00555937" w:rsidRDefault="00E71C23" w:rsidP="00555937">
      <w:pPr>
        <w:pStyle w:val="Pagrindinistekstas"/>
        <w:spacing w:line="276" w:lineRule="auto"/>
        <w:ind w:firstLine="0"/>
        <w:jc w:val="both"/>
        <w:rPr>
          <w:szCs w:val="24"/>
          <w:lang w:val="lt-LT" w:eastAsia="lt-LT"/>
        </w:rPr>
      </w:pPr>
      <w:r w:rsidRPr="00555937">
        <w:rPr>
          <w:szCs w:val="24"/>
          <w:lang w:val="lt-LT" w:eastAsia="lt-LT"/>
        </w:rPr>
        <w:t>Tarnybai nėra pilnai aišku, ar analizėje skaičiuojamas asmens sveikatos priežiūros paslaugų poreikis tikrai atitinka Lietuvos klinikinę praktiką, tačiau atsižvelgiant į tai, jog paslaugų kaštai yra pritaikyti pagal Lietuvos įkainius, vertinama, jog rezultatas gali būti interpretuotas. Asmens sveikatos priežiūros paslaugų kaštai atnaujinti pagal naujausią prieinamą informaciją.</w:t>
      </w:r>
    </w:p>
    <w:p w14:paraId="3F412480" w14:textId="77777777" w:rsidR="00E71C23" w:rsidRPr="00555937" w:rsidRDefault="00E71C23" w:rsidP="00555937">
      <w:pPr>
        <w:pStyle w:val="Pagrindinistekstas"/>
        <w:spacing w:line="276" w:lineRule="auto"/>
        <w:ind w:firstLine="0"/>
        <w:jc w:val="both"/>
        <w:rPr>
          <w:szCs w:val="24"/>
          <w:lang w:val="lt-LT" w:eastAsia="lt-LT"/>
        </w:rPr>
      </w:pPr>
      <w:r w:rsidRPr="00555937">
        <w:rPr>
          <w:szCs w:val="24"/>
          <w:lang w:val="lt-LT" w:eastAsia="lt-LT"/>
        </w:rPr>
        <w:t>Pareiškėjas analizėje taiko RDI (dozės intensyvumo) prielaidą. Siekiant vienodumo, atkartojamumo su Tarnybos atliktais vertinimais, konservatyvesnio analizės rezultato bei neturint duomenų apie Lietuvos pacientų RDI, Tarnyba pagrindinio atvejo analizėje taiko 100 proc. RDI.</w:t>
      </w:r>
    </w:p>
    <w:p w14:paraId="41221140" w14:textId="74424DE3" w:rsidR="00E71C23" w:rsidRPr="00555937" w:rsidRDefault="00E71C23" w:rsidP="00555937">
      <w:pPr>
        <w:pStyle w:val="Pagrindinistekstas"/>
        <w:spacing w:line="276" w:lineRule="auto"/>
        <w:ind w:firstLine="0"/>
        <w:jc w:val="both"/>
        <w:rPr>
          <w:rFonts w:eastAsia="Arial"/>
          <w:iCs/>
          <w:szCs w:val="24"/>
          <w:lang w:val="lt-LT"/>
        </w:rPr>
      </w:pPr>
      <w:r w:rsidRPr="00555937">
        <w:rPr>
          <w:szCs w:val="24"/>
          <w:lang w:val="lt-LT" w:eastAsia="lt-LT"/>
        </w:rPr>
        <w:t xml:space="preserve">Tarnyba įvertinus pagrindinio atvejo analizės rezultatus, nustatė, jog gydymas donanemabu nėra kaštams naudingas ir yra reikalinga bent </w:t>
      </w:r>
      <w:r w:rsidR="00D91B12">
        <w:rPr>
          <w:b/>
          <w:bCs w:val="0"/>
          <w:szCs w:val="24"/>
          <w:lang w:val="lt-LT" w:eastAsia="lt-LT"/>
        </w:rPr>
        <w:t>**</w:t>
      </w:r>
      <w:r w:rsidRPr="00555937">
        <w:rPr>
          <w:b/>
          <w:bCs w:val="0"/>
          <w:szCs w:val="24"/>
          <w:lang w:val="lt-LT" w:eastAsia="lt-LT"/>
        </w:rPr>
        <w:t xml:space="preserve"> proc. </w:t>
      </w:r>
      <w:r w:rsidRPr="00555937">
        <w:rPr>
          <w:szCs w:val="24"/>
          <w:lang w:val="lt-LT" w:eastAsia="lt-LT"/>
        </w:rPr>
        <w:t>papildoma nuolaida.</w:t>
      </w:r>
    </w:p>
    <w:p w14:paraId="03C43C4B" w14:textId="77777777" w:rsidR="00E71C23" w:rsidRPr="00334F18" w:rsidRDefault="00E71C23" w:rsidP="00A93AA6">
      <w:pPr>
        <w:tabs>
          <w:tab w:val="left" w:pos="426"/>
        </w:tabs>
        <w:rPr>
          <w:b/>
          <w:bCs/>
          <w:caps/>
        </w:rPr>
      </w:pPr>
    </w:p>
    <w:p w14:paraId="174D84D7" w14:textId="09C7BC2B" w:rsidR="0035172D" w:rsidRPr="00334F18" w:rsidRDefault="00164D64" w:rsidP="00A93AA6">
      <w:pPr>
        <w:tabs>
          <w:tab w:val="left" w:pos="426"/>
        </w:tabs>
        <w:rPr>
          <w:b/>
          <w:lang w:eastAsia="lt-LT"/>
        </w:rPr>
      </w:pPr>
      <w:r w:rsidRPr="00334F18">
        <w:rPr>
          <w:b/>
          <w:lang w:eastAsia="lt-LT"/>
        </w:rPr>
        <w:t xml:space="preserve">3.1 </w:t>
      </w:r>
      <w:r w:rsidR="0035172D" w:rsidRPr="00334F18">
        <w:rPr>
          <w:b/>
          <w:lang w:eastAsia="lt-LT"/>
        </w:rPr>
        <w:t>Ekonominės analizės rezultatas</w:t>
      </w:r>
    </w:p>
    <w:p w14:paraId="4801D227" w14:textId="77777777" w:rsidR="009E44AE" w:rsidRPr="00334F18" w:rsidRDefault="009E44AE" w:rsidP="00A93AA6">
      <w:pPr>
        <w:tabs>
          <w:tab w:val="left" w:pos="426"/>
        </w:tabs>
        <w:rPr>
          <w:b/>
          <w:lang w:eastAsia="lt-LT"/>
        </w:rPr>
      </w:pPr>
    </w:p>
    <w:tbl>
      <w:tblPr>
        <w:tblStyle w:val="Lentelstinklelis1"/>
        <w:tblW w:w="9439"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6200"/>
        <w:gridCol w:w="3239"/>
      </w:tblGrid>
      <w:tr w:rsidR="00334F18" w:rsidRPr="00334F18" w14:paraId="42D6C843" w14:textId="77777777" w:rsidTr="00BE7489">
        <w:trPr>
          <w:trHeight w:val="344"/>
          <w:jc w:val="center"/>
        </w:trPr>
        <w:tc>
          <w:tcPr>
            <w:tcW w:w="9439" w:type="dxa"/>
            <w:gridSpan w:val="2"/>
            <w:tcBorders>
              <w:top w:val="single" w:sz="12" w:space="0" w:color="auto"/>
              <w:left w:val="single" w:sz="4" w:space="0" w:color="auto"/>
              <w:right w:val="single" w:sz="4" w:space="0" w:color="auto"/>
            </w:tcBorders>
            <w:vAlign w:val="center"/>
          </w:tcPr>
          <w:p w14:paraId="39FD3B40" w14:textId="77777777" w:rsidR="009E44AE" w:rsidRPr="00334F18" w:rsidRDefault="009E44AE" w:rsidP="009E44AE">
            <w:pPr>
              <w:tabs>
                <w:tab w:val="left" w:pos="567"/>
              </w:tabs>
              <w:jc w:val="center"/>
              <w:rPr>
                <w:b/>
                <w:bCs/>
                <w:sz w:val="26"/>
                <w:szCs w:val="26"/>
                <w:lang w:eastAsia="lt-LT"/>
              </w:rPr>
            </w:pPr>
            <w:r w:rsidRPr="00334F18">
              <w:rPr>
                <w:b/>
                <w:bCs/>
                <w:sz w:val="26"/>
                <w:szCs w:val="26"/>
                <w:lang w:eastAsia="lt-LT"/>
              </w:rPr>
              <w:t>Rezultatai</w:t>
            </w:r>
          </w:p>
        </w:tc>
      </w:tr>
      <w:tr w:rsidR="00334F18" w:rsidRPr="00334F18" w14:paraId="319AF392" w14:textId="77777777" w:rsidTr="00BE7489">
        <w:trPr>
          <w:trHeight w:val="267"/>
          <w:jc w:val="center"/>
        </w:trPr>
        <w:tc>
          <w:tcPr>
            <w:tcW w:w="6200" w:type="dxa"/>
            <w:tcBorders>
              <w:left w:val="single" w:sz="4" w:space="0" w:color="auto"/>
            </w:tcBorders>
          </w:tcPr>
          <w:p w14:paraId="44CD8D27" w14:textId="27245A0B" w:rsidR="00BA5DBC" w:rsidRPr="00334F18" w:rsidRDefault="00BA5DBC" w:rsidP="00BA5DBC">
            <w:pPr>
              <w:tabs>
                <w:tab w:val="left" w:pos="567"/>
              </w:tabs>
              <w:jc w:val="right"/>
              <w:rPr>
                <w:iCs/>
                <w:lang w:eastAsia="lt-LT"/>
              </w:rPr>
            </w:pPr>
            <w:r w:rsidRPr="00334F18">
              <w:rPr>
                <w:iCs/>
                <w:lang w:eastAsia="lt-LT"/>
              </w:rPr>
              <w:t>Kaštų skirtumas</w:t>
            </w:r>
          </w:p>
        </w:tc>
        <w:tc>
          <w:tcPr>
            <w:tcW w:w="3238" w:type="dxa"/>
            <w:tcBorders>
              <w:right w:val="single" w:sz="4" w:space="0" w:color="auto"/>
            </w:tcBorders>
          </w:tcPr>
          <w:p w14:paraId="1CACF0B4" w14:textId="66955E71" w:rsidR="00BA5DBC" w:rsidRPr="00334F18" w:rsidRDefault="00D91B12" w:rsidP="00BA5DBC">
            <w:pPr>
              <w:tabs>
                <w:tab w:val="left" w:pos="567"/>
              </w:tabs>
              <w:jc w:val="both"/>
              <w:rPr>
                <w:i/>
                <w:iCs/>
                <w:lang w:eastAsia="lt-LT"/>
              </w:rPr>
            </w:pPr>
            <w:r>
              <w:rPr>
                <w:i/>
                <w:iCs/>
                <w:lang w:eastAsia="lt-LT"/>
              </w:rPr>
              <w:t>***</w:t>
            </w:r>
            <w:r w:rsidR="00E71C23">
              <w:rPr>
                <w:i/>
                <w:iCs/>
                <w:lang w:eastAsia="lt-LT"/>
              </w:rPr>
              <w:t xml:space="preserve"> eur</w:t>
            </w:r>
          </w:p>
        </w:tc>
      </w:tr>
      <w:tr w:rsidR="00334F18" w:rsidRPr="00334F18" w14:paraId="49F818A3" w14:textId="77777777" w:rsidTr="00BE7489">
        <w:trPr>
          <w:trHeight w:val="267"/>
          <w:jc w:val="center"/>
        </w:trPr>
        <w:tc>
          <w:tcPr>
            <w:tcW w:w="6200" w:type="dxa"/>
            <w:tcBorders>
              <w:left w:val="single" w:sz="4" w:space="0" w:color="auto"/>
            </w:tcBorders>
          </w:tcPr>
          <w:p w14:paraId="021DB925" w14:textId="389F1BF5" w:rsidR="00BA5DBC" w:rsidRPr="00334F18" w:rsidRDefault="00BA5DBC" w:rsidP="00BA5DBC">
            <w:pPr>
              <w:tabs>
                <w:tab w:val="left" w:pos="567"/>
              </w:tabs>
              <w:jc w:val="right"/>
              <w:rPr>
                <w:iCs/>
                <w:lang w:eastAsia="lt-LT"/>
              </w:rPr>
            </w:pPr>
            <w:r w:rsidRPr="00334F18">
              <w:rPr>
                <w:iCs/>
                <w:lang w:eastAsia="lt-LT"/>
              </w:rPr>
              <w:t>Papildomi gyvenimo metai (LY)</w:t>
            </w:r>
          </w:p>
        </w:tc>
        <w:tc>
          <w:tcPr>
            <w:tcW w:w="3238" w:type="dxa"/>
            <w:tcBorders>
              <w:right w:val="single" w:sz="4" w:space="0" w:color="auto"/>
            </w:tcBorders>
          </w:tcPr>
          <w:p w14:paraId="4954817B" w14:textId="2CA8E8A7" w:rsidR="00BA5DBC" w:rsidRPr="00334F18" w:rsidRDefault="00D91B12" w:rsidP="00BA5DBC">
            <w:pPr>
              <w:tabs>
                <w:tab w:val="left" w:pos="567"/>
              </w:tabs>
              <w:jc w:val="both"/>
              <w:rPr>
                <w:i/>
                <w:iCs/>
                <w:lang w:eastAsia="lt-LT"/>
              </w:rPr>
            </w:pPr>
            <w:r>
              <w:rPr>
                <w:i/>
                <w:iCs/>
                <w:lang w:eastAsia="lt-LT"/>
              </w:rPr>
              <w:t>***</w:t>
            </w:r>
          </w:p>
        </w:tc>
      </w:tr>
      <w:tr w:rsidR="00334F18" w:rsidRPr="00334F18" w14:paraId="20ADA742" w14:textId="77777777" w:rsidTr="00BE7489">
        <w:trPr>
          <w:trHeight w:val="267"/>
          <w:jc w:val="center"/>
        </w:trPr>
        <w:tc>
          <w:tcPr>
            <w:tcW w:w="6200" w:type="dxa"/>
            <w:tcBorders>
              <w:left w:val="single" w:sz="4" w:space="0" w:color="auto"/>
            </w:tcBorders>
          </w:tcPr>
          <w:p w14:paraId="0F567576" w14:textId="2606A2E9" w:rsidR="00BA5DBC" w:rsidRPr="00334F18" w:rsidRDefault="0058712F" w:rsidP="00BA5DBC">
            <w:pPr>
              <w:tabs>
                <w:tab w:val="left" w:pos="567"/>
              </w:tabs>
              <w:jc w:val="right"/>
              <w:rPr>
                <w:iCs/>
                <w:lang w:eastAsia="lt-LT"/>
              </w:rPr>
            </w:pPr>
            <w:r w:rsidRPr="00334F18">
              <w:rPr>
                <w:iCs/>
                <w:lang w:eastAsia="lt-LT"/>
              </w:rPr>
              <w:t>Papildomi k</w:t>
            </w:r>
            <w:r w:rsidR="00BA5DBC" w:rsidRPr="00334F18">
              <w:rPr>
                <w:iCs/>
                <w:lang w:eastAsia="lt-LT"/>
              </w:rPr>
              <w:t>okybiški gyvenimo metai (QALY)</w:t>
            </w:r>
          </w:p>
        </w:tc>
        <w:tc>
          <w:tcPr>
            <w:tcW w:w="3238" w:type="dxa"/>
            <w:tcBorders>
              <w:right w:val="single" w:sz="4" w:space="0" w:color="auto"/>
            </w:tcBorders>
          </w:tcPr>
          <w:p w14:paraId="02E4DAE1" w14:textId="0AB037AB" w:rsidR="00BA5DBC" w:rsidRPr="00334F18" w:rsidRDefault="00D91B12" w:rsidP="00BA5DBC">
            <w:pPr>
              <w:tabs>
                <w:tab w:val="left" w:pos="567"/>
              </w:tabs>
              <w:jc w:val="both"/>
              <w:rPr>
                <w:i/>
                <w:iCs/>
                <w:lang w:eastAsia="lt-LT"/>
              </w:rPr>
            </w:pPr>
            <w:r>
              <w:rPr>
                <w:i/>
                <w:iCs/>
                <w:lang w:eastAsia="lt-LT"/>
              </w:rPr>
              <w:t>***</w:t>
            </w:r>
          </w:p>
        </w:tc>
      </w:tr>
      <w:tr w:rsidR="00334F18" w:rsidRPr="00334F18" w14:paraId="1FADA2B3" w14:textId="77777777" w:rsidTr="00BE7489">
        <w:trPr>
          <w:trHeight w:val="267"/>
          <w:jc w:val="center"/>
        </w:trPr>
        <w:tc>
          <w:tcPr>
            <w:tcW w:w="6200" w:type="dxa"/>
            <w:tcBorders>
              <w:left w:val="single" w:sz="4" w:space="0" w:color="auto"/>
            </w:tcBorders>
          </w:tcPr>
          <w:p w14:paraId="13E089E8" w14:textId="0BCEB339" w:rsidR="00BA5DBC" w:rsidRPr="00334F18" w:rsidRDefault="00BA5DBC" w:rsidP="009E44AE">
            <w:pPr>
              <w:tabs>
                <w:tab w:val="left" w:pos="567"/>
              </w:tabs>
              <w:jc w:val="right"/>
              <w:rPr>
                <w:iCs/>
                <w:lang w:eastAsia="lt-LT"/>
              </w:rPr>
            </w:pPr>
            <w:r w:rsidRPr="00334F18">
              <w:rPr>
                <w:iCs/>
                <w:lang w:eastAsia="lt-LT"/>
              </w:rPr>
              <w:t>ICER už LY</w:t>
            </w:r>
          </w:p>
        </w:tc>
        <w:tc>
          <w:tcPr>
            <w:tcW w:w="3238" w:type="dxa"/>
            <w:tcBorders>
              <w:right w:val="single" w:sz="4" w:space="0" w:color="auto"/>
            </w:tcBorders>
          </w:tcPr>
          <w:p w14:paraId="2817448D" w14:textId="739E4E2C" w:rsidR="00BA5DBC" w:rsidRPr="00334F18" w:rsidRDefault="00D91B12" w:rsidP="009E44AE">
            <w:pPr>
              <w:tabs>
                <w:tab w:val="left" w:pos="567"/>
              </w:tabs>
              <w:jc w:val="both"/>
              <w:rPr>
                <w:i/>
                <w:iCs/>
                <w:lang w:eastAsia="lt-LT"/>
              </w:rPr>
            </w:pPr>
            <w:r>
              <w:rPr>
                <w:i/>
                <w:iCs/>
                <w:lang w:eastAsia="lt-LT"/>
              </w:rPr>
              <w:t xml:space="preserve">*** </w:t>
            </w:r>
            <w:r w:rsidR="00E71C23">
              <w:rPr>
                <w:i/>
                <w:iCs/>
                <w:lang w:eastAsia="lt-LT"/>
              </w:rPr>
              <w:t>eur/LY</w:t>
            </w:r>
          </w:p>
        </w:tc>
      </w:tr>
      <w:tr w:rsidR="00334F18" w:rsidRPr="00334F18" w14:paraId="250DE960" w14:textId="77777777" w:rsidTr="00BE7489">
        <w:trPr>
          <w:trHeight w:val="267"/>
          <w:jc w:val="center"/>
        </w:trPr>
        <w:tc>
          <w:tcPr>
            <w:tcW w:w="6200" w:type="dxa"/>
            <w:tcBorders>
              <w:left w:val="single" w:sz="4" w:space="0" w:color="auto"/>
            </w:tcBorders>
          </w:tcPr>
          <w:p w14:paraId="207EFB23" w14:textId="77777777" w:rsidR="009E44AE" w:rsidRPr="00334F18" w:rsidRDefault="009E44AE" w:rsidP="009E44AE">
            <w:pPr>
              <w:tabs>
                <w:tab w:val="left" w:pos="567"/>
              </w:tabs>
              <w:jc w:val="right"/>
              <w:rPr>
                <w:iCs/>
                <w:lang w:eastAsia="lt-LT"/>
              </w:rPr>
            </w:pPr>
            <w:r w:rsidRPr="00334F18">
              <w:rPr>
                <w:iCs/>
                <w:lang w:eastAsia="lt-LT"/>
              </w:rPr>
              <w:t>ICER už QALY</w:t>
            </w:r>
          </w:p>
        </w:tc>
        <w:tc>
          <w:tcPr>
            <w:tcW w:w="3238" w:type="dxa"/>
            <w:tcBorders>
              <w:right w:val="single" w:sz="4" w:space="0" w:color="auto"/>
            </w:tcBorders>
          </w:tcPr>
          <w:p w14:paraId="4275320D" w14:textId="3D582753" w:rsidR="009E44AE" w:rsidRPr="00334F18" w:rsidRDefault="00D91B12" w:rsidP="009E44AE">
            <w:pPr>
              <w:tabs>
                <w:tab w:val="left" w:pos="567"/>
              </w:tabs>
              <w:jc w:val="both"/>
              <w:rPr>
                <w:i/>
                <w:iCs/>
                <w:lang w:eastAsia="lt-LT"/>
              </w:rPr>
            </w:pPr>
            <w:r>
              <w:rPr>
                <w:i/>
                <w:iCs/>
                <w:lang w:eastAsia="lt-LT"/>
              </w:rPr>
              <w:t xml:space="preserve">*** </w:t>
            </w:r>
            <w:r w:rsidR="008A160D">
              <w:rPr>
                <w:i/>
                <w:iCs/>
                <w:lang w:eastAsia="lt-LT"/>
              </w:rPr>
              <w:t>e</w:t>
            </w:r>
            <w:r w:rsidR="00E71C23">
              <w:rPr>
                <w:i/>
                <w:iCs/>
                <w:lang w:eastAsia="lt-LT"/>
              </w:rPr>
              <w:t>ur/QALY</w:t>
            </w:r>
          </w:p>
        </w:tc>
      </w:tr>
      <w:tr w:rsidR="00334F18" w:rsidRPr="00334F18" w14:paraId="2C4C68BA" w14:textId="77777777" w:rsidTr="00BE7489">
        <w:trPr>
          <w:trHeight w:val="267"/>
          <w:jc w:val="center"/>
        </w:trPr>
        <w:tc>
          <w:tcPr>
            <w:tcW w:w="6200" w:type="dxa"/>
            <w:tcBorders>
              <w:left w:val="single" w:sz="4" w:space="0" w:color="auto"/>
              <w:bottom w:val="single" w:sz="4" w:space="0" w:color="auto"/>
              <w:right w:val="single" w:sz="4" w:space="0" w:color="auto"/>
            </w:tcBorders>
          </w:tcPr>
          <w:p w14:paraId="21BEDABF" w14:textId="3471AFB3" w:rsidR="009E44AE" w:rsidRPr="00334F18" w:rsidRDefault="00437623" w:rsidP="009E44AE">
            <w:pPr>
              <w:tabs>
                <w:tab w:val="left" w:pos="567"/>
              </w:tabs>
              <w:jc w:val="right"/>
              <w:rPr>
                <w:iCs/>
                <w:lang w:eastAsia="lt-LT"/>
              </w:rPr>
            </w:pPr>
            <w:r w:rsidRPr="00334F18">
              <w:rPr>
                <w:iCs/>
                <w:lang w:eastAsia="lt-LT"/>
              </w:rPr>
              <w:t>Referenc</w:t>
            </w:r>
            <w:r w:rsidR="009E44AE" w:rsidRPr="00334F18">
              <w:rPr>
                <w:iCs/>
                <w:lang w:eastAsia="lt-LT"/>
              </w:rPr>
              <w:t>inė kaštų naudingumo vertė</w:t>
            </w:r>
          </w:p>
        </w:tc>
        <w:tc>
          <w:tcPr>
            <w:tcW w:w="3238" w:type="dxa"/>
            <w:tcBorders>
              <w:left w:val="single" w:sz="4" w:space="0" w:color="auto"/>
              <w:bottom w:val="single" w:sz="4" w:space="0" w:color="auto"/>
              <w:right w:val="single" w:sz="4" w:space="0" w:color="auto"/>
            </w:tcBorders>
          </w:tcPr>
          <w:p w14:paraId="31DAA72E" w14:textId="0B43F6AC" w:rsidR="009E44AE" w:rsidRPr="00334F18" w:rsidRDefault="00D91B12" w:rsidP="009E44AE">
            <w:pPr>
              <w:tabs>
                <w:tab w:val="left" w:pos="567"/>
              </w:tabs>
              <w:jc w:val="both"/>
              <w:rPr>
                <w:i/>
                <w:iCs/>
                <w:lang w:eastAsia="lt-LT"/>
              </w:rPr>
            </w:pPr>
            <w:r>
              <w:rPr>
                <w:i/>
                <w:iCs/>
                <w:lang w:eastAsia="lt-LT"/>
              </w:rPr>
              <w:t xml:space="preserve">*** </w:t>
            </w:r>
            <w:r w:rsidR="00E71C23">
              <w:rPr>
                <w:i/>
                <w:iCs/>
                <w:lang w:eastAsia="lt-LT"/>
              </w:rPr>
              <w:t>eur/QALY</w:t>
            </w:r>
          </w:p>
        </w:tc>
      </w:tr>
    </w:tbl>
    <w:p w14:paraId="5FC8C737" w14:textId="4136B7F4" w:rsidR="0035172D" w:rsidRPr="00334F18" w:rsidRDefault="00E5102E" w:rsidP="0035172D">
      <w:pPr>
        <w:tabs>
          <w:tab w:val="left" w:pos="567"/>
        </w:tabs>
        <w:jc w:val="both"/>
        <w:rPr>
          <w:iCs/>
          <w:sz w:val="20"/>
          <w:lang w:eastAsia="lt-LT"/>
        </w:rPr>
      </w:pPr>
      <w:r w:rsidRPr="00334F18">
        <w:rPr>
          <w:iCs/>
          <w:sz w:val="20"/>
          <w:lang w:eastAsia="lt-LT"/>
        </w:rPr>
        <w:t xml:space="preserve">ICER </w:t>
      </w:r>
      <w:r w:rsidR="00453862" w:rsidRPr="00334F18">
        <w:rPr>
          <w:iCs/>
          <w:sz w:val="20"/>
          <w:lang w:eastAsia="lt-LT"/>
        </w:rPr>
        <w:t>– (</w:t>
      </w:r>
      <w:r w:rsidR="00453862" w:rsidRPr="00334F18">
        <w:rPr>
          <w:i/>
          <w:sz w:val="20"/>
          <w:lang w:eastAsia="lt-LT"/>
        </w:rPr>
        <w:t>angl. incremental cost-effectiveness ratio</w:t>
      </w:r>
      <w:r w:rsidR="00453862" w:rsidRPr="00334F18">
        <w:rPr>
          <w:iCs/>
          <w:sz w:val="20"/>
          <w:lang w:eastAsia="lt-LT"/>
        </w:rPr>
        <w:t>) inkrementinis kaštų naudingumo koeficientas</w:t>
      </w:r>
      <w:r w:rsidRPr="00334F18">
        <w:rPr>
          <w:iCs/>
          <w:sz w:val="20"/>
          <w:lang w:eastAsia="lt-LT"/>
        </w:rPr>
        <w:t>; LY –</w:t>
      </w:r>
      <w:r w:rsidR="00453862" w:rsidRPr="00334F18">
        <w:rPr>
          <w:iCs/>
          <w:sz w:val="20"/>
          <w:lang w:eastAsia="lt-LT"/>
        </w:rPr>
        <w:t xml:space="preserve"> (</w:t>
      </w:r>
      <w:r w:rsidR="00453862" w:rsidRPr="00334F18">
        <w:rPr>
          <w:i/>
          <w:sz w:val="20"/>
          <w:lang w:eastAsia="lt-LT"/>
        </w:rPr>
        <w:t>angl. life years</w:t>
      </w:r>
      <w:r w:rsidR="00453862" w:rsidRPr="00334F18">
        <w:rPr>
          <w:iCs/>
          <w:sz w:val="20"/>
          <w:lang w:eastAsia="lt-LT"/>
        </w:rPr>
        <w:t>) gyvenimo metai</w:t>
      </w:r>
      <w:r w:rsidRPr="00334F18">
        <w:rPr>
          <w:iCs/>
          <w:sz w:val="20"/>
          <w:lang w:eastAsia="lt-LT"/>
        </w:rPr>
        <w:t xml:space="preserve">; QALY- </w:t>
      </w:r>
      <w:r w:rsidR="00453862" w:rsidRPr="00334F18">
        <w:rPr>
          <w:iCs/>
          <w:sz w:val="20"/>
          <w:lang w:eastAsia="lt-LT"/>
        </w:rPr>
        <w:t>(</w:t>
      </w:r>
      <w:r w:rsidR="00453862" w:rsidRPr="00334F18">
        <w:rPr>
          <w:i/>
          <w:sz w:val="20"/>
          <w:lang w:eastAsia="lt-LT"/>
        </w:rPr>
        <w:t xml:space="preserve">angl. quality adjusted life years) </w:t>
      </w:r>
      <w:r w:rsidR="00453862" w:rsidRPr="00334F18">
        <w:rPr>
          <w:iCs/>
          <w:sz w:val="20"/>
          <w:lang w:eastAsia="lt-LT"/>
        </w:rPr>
        <w:t>kokybiški gyvenimo metai.</w:t>
      </w:r>
    </w:p>
    <w:p w14:paraId="33875138" w14:textId="77777777" w:rsidR="0035172D" w:rsidRPr="00334F18" w:rsidRDefault="0035172D" w:rsidP="00A93AA6">
      <w:pPr>
        <w:tabs>
          <w:tab w:val="left" w:pos="426"/>
        </w:tabs>
        <w:rPr>
          <w:b/>
          <w:bCs/>
          <w:caps/>
        </w:rPr>
      </w:pPr>
    </w:p>
    <w:p w14:paraId="4FC424F9" w14:textId="4E767245" w:rsidR="00C62B36" w:rsidRPr="00334F18" w:rsidRDefault="00C62B36" w:rsidP="00CC09D4">
      <w:pPr>
        <w:pStyle w:val="Sraopastraipa"/>
        <w:numPr>
          <w:ilvl w:val="0"/>
          <w:numId w:val="12"/>
        </w:numPr>
        <w:tabs>
          <w:tab w:val="left" w:pos="567"/>
        </w:tabs>
        <w:ind w:hanging="720"/>
        <w:rPr>
          <w:b/>
          <w:bCs/>
          <w:caps/>
        </w:rPr>
      </w:pPr>
      <w:r w:rsidRPr="00334F18">
        <w:rPr>
          <w:b/>
          <w:bCs/>
          <w:caps/>
        </w:rPr>
        <w:t xml:space="preserve">Pacientų organizacijų pateikti duomenys </w:t>
      </w:r>
    </w:p>
    <w:p w14:paraId="54351841" w14:textId="77777777" w:rsidR="00C9728E" w:rsidRPr="00334F18" w:rsidRDefault="00C9728E" w:rsidP="00C9728E">
      <w:pPr>
        <w:pStyle w:val="Sraopastraipa"/>
        <w:tabs>
          <w:tab w:val="left" w:pos="567"/>
        </w:tabs>
        <w:rPr>
          <w:b/>
          <w:bCs/>
          <w:caps/>
        </w:rPr>
      </w:pPr>
    </w:p>
    <w:p w14:paraId="62992180" w14:textId="1313AF8C" w:rsidR="00937907" w:rsidRPr="00334F18" w:rsidRDefault="00937907" w:rsidP="00937907">
      <w:pPr>
        <w:spacing w:after="120"/>
        <w:jc w:val="both"/>
      </w:pPr>
      <w:r w:rsidRPr="00334F18">
        <w:t xml:space="preserve">Pacientų organizacijos pozicija </w:t>
      </w:r>
      <w:r w:rsidR="00880A44" w:rsidRPr="00334F18">
        <w:t>ne</w:t>
      </w:r>
      <w:r w:rsidRPr="00334F18">
        <w:t>pateikta.</w:t>
      </w:r>
    </w:p>
    <w:p w14:paraId="03E73D82" w14:textId="77777777" w:rsidR="00D417D2" w:rsidRPr="00334F18" w:rsidRDefault="00D417D2" w:rsidP="00937907">
      <w:pPr>
        <w:spacing w:after="120"/>
        <w:jc w:val="both"/>
      </w:pPr>
    </w:p>
    <w:p w14:paraId="3D3277FA" w14:textId="384E90BB" w:rsidR="00C62B36" w:rsidRPr="00334F18" w:rsidRDefault="00D67BAF" w:rsidP="00CC09D4">
      <w:pPr>
        <w:pStyle w:val="Sraopastraipa"/>
        <w:numPr>
          <w:ilvl w:val="0"/>
          <w:numId w:val="12"/>
        </w:numPr>
        <w:tabs>
          <w:tab w:val="left" w:pos="567"/>
        </w:tabs>
        <w:ind w:hanging="720"/>
        <w:rPr>
          <w:b/>
          <w:bCs/>
          <w:caps/>
        </w:rPr>
      </w:pPr>
      <w:r w:rsidRPr="00334F18">
        <w:rPr>
          <w:b/>
          <w:bCs/>
          <w:caps/>
        </w:rPr>
        <w:t xml:space="preserve">SVEIKATOS PRIEŽIŪROS SPECIALISTŲ </w:t>
      </w:r>
      <w:r w:rsidR="00C62B36" w:rsidRPr="00334F18">
        <w:rPr>
          <w:b/>
          <w:bCs/>
          <w:caps/>
        </w:rPr>
        <w:t>organizacijų pateikti duomenys</w:t>
      </w:r>
    </w:p>
    <w:p w14:paraId="044D5084" w14:textId="77777777" w:rsidR="00C9728E" w:rsidRPr="00334F18" w:rsidRDefault="00C9728E" w:rsidP="00C9728E">
      <w:pPr>
        <w:pStyle w:val="Sraopastraipa"/>
        <w:tabs>
          <w:tab w:val="left" w:pos="567"/>
        </w:tabs>
        <w:rPr>
          <w:b/>
          <w:bCs/>
          <w:caps/>
        </w:rPr>
      </w:pPr>
    </w:p>
    <w:p w14:paraId="5D8CC48C" w14:textId="6CFF3474" w:rsidR="00662983" w:rsidRPr="00334F18" w:rsidRDefault="00D67BAF" w:rsidP="00662983">
      <w:pPr>
        <w:spacing w:after="120"/>
        <w:jc w:val="both"/>
      </w:pPr>
      <w:r w:rsidRPr="00334F18">
        <w:t>S</w:t>
      </w:r>
      <w:r w:rsidRPr="00334F18">
        <w:rPr>
          <w:bCs/>
        </w:rPr>
        <w:t>veikatos priežiūros specialistų</w:t>
      </w:r>
      <w:r w:rsidR="00937907" w:rsidRPr="00334F18">
        <w:t xml:space="preserve"> organizacijos pozicija </w:t>
      </w:r>
      <w:r w:rsidR="00880A44" w:rsidRPr="00334F18">
        <w:t>ne</w:t>
      </w:r>
      <w:r w:rsidR="00937907" w:rsidRPr="00334F18">
        <w:t>pateikta.</w:t>
      </w:r>
    </w:p>
    <w:p w14:paraId="3701D46A" w14:textId="77777777" w:rsidR="00A042B9" w:rsidRDefault="00A042B9" w:rsidP="00662983">
      <w:pPr>
        <w:spacing w:after="120"/>
        <w:jc w:val="both"/>
      </w:pPr>
    </w:p>
    <w:p w14:paraId="20B595B3" w14:textId="77777777" w:rsidR="009A17AE" w:rsidRPr="00334F18" w:rsidRDefault="009A17AE" w:rsidP="00662983">
      <w:pPr>
        <w:spacing w:after="120"/>
        <w:jc w:val="both"/>
      </w:pPr>
    </w:p>
    <w:p w14:paraId="78F23ECB" w14:textId="3ED5BFD5" w:rsidR="002F0E4F" w:rsidRPr="00334F18" w:rsidRDefault="002F0E4F" w:rsidP="00CC09D4">
      <w:pPr>
        <w:pStyle w:val="Sraopastraipa"/>
        <w:numPr>
          <w:ilvl w:val="0"/>
          <w:numId w:val="12"/>
        </w:numPr>
        <w:tabs>
          <w:tab w:val="left" w:pos="567"/>
        </w:tabs>
        <w:ind w:hanging="720"/>
        <w:rPr>
          <w:b/>
          <w:bCs/>
          <w:caps/>
        </w:rPr>
      </w:pPr>
      <w:r w:rsidRPr="00334F18">
        <w:rPr>
          <w:b/>
          <w:bCs/>
          <w:caps/>
        </w:rPr>
        <w:lastRenderedPageBreak/>
        <w:t>Išvad</w:t>
      </w:r>
      <w:r w:rsidR="00B811A4" w:rsidRPr="00334F18">
        <w:rPr>
          <w:b/>
          <w:bCs/>
          <w:caps/>
        </w:rPr>
        <w:t>OS</w:t>
      </w:r>
      <w:r w:rsidRPr="00334F18">
        <w:rPr>
          <w:b/>
          <w:bCs/>
          <w:caps/>
        </w:rPr>
        <w:t xml:space="preserve"> </w:t>
      </w:r>
    </w:p>
    <w:p w14:paraId="30069D85" w14:textId="77777777" w:rsidR="0061611B" w:rsidRPr="00334F18" w:rsidRDefault="0061611B" w:rsidP="0061611B">
      <w:pPr>
        <w:ind w:left="360"/>
        <w:rPr>
          <w:i/>
          <w:szCs w:val="22"/>
        </w:rPr>
      </w:pPr>
    </w:p>
    <w:tbl>
      <w:tblPr>
        <w:tblStyle w:val="Lentelstinklelis"/>
        <w:tblW w:w="0" w:type="auto"/>
        <w:tblInd w:w="-5" w:type="dxa"/>
        <w:tblLook w:val="04A0" w:firstRow="1" w:lastRow="0" w:firstColumn="1" w:lastColumn="0" w:noHBand="0" w:noVBand="1"/>
      </w:tblPr>
      <w:tblGrid>
        <w:gridCol w:w="4820"/>
        <w:gridCol w:w="4814"/>
      </w:tblGrid>
      <w:tr w:rsidR="00334F18" w:rsidRPr="00334F18" w14:paraId="4D5EFB83" w14:textId="77777777" w:rsidTr="007111C4">
        <w:trPr>
          <w:trHeight w:val="510"/>
        </w:trPr>
        <w:tc>
          <w:tcPr>
            <w:tcW w:w="9634" w:type="dxa"/>
            <w:gridSpan w:val="2"/>
            <w:vAlign w:val="center"/>
          </w:tcPr>
          <w:p w14:paraId="294EC16B"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Style w:val="Style2"/>
                <w:rFonts w:eastAsia="MS Gothic"/>
                <w:b/>
                <w:bCs/>
                <w:sz w:val="23"/>
                <w:szCs w:val="23"/>
              </w:rPr>
            </w:pPr>
            <w:bookmarkStart w:id="1" w:name="_Hlk185430554"/>
            <w:r w:rsidRPr="00334F18">
              <w:rPr>
                <w:rStyle w:val="Style2"/>
                <w:rFonts w:eastAsia="MS Gothic"/>
                <w:b/>
                <w:bCs/>
                <w:sz w:val="23"/>
                <w:szCs w:val="23"/>
              </w:rPr>
              <w:t>Palyginamasis veiksmingumas</w:t>
            </w:r>
          </w:p>
        </w:tc>
      </w:tr>
      <w:tr w:rsidR="00334F18" w:rsidRPr="00334F18" w14:paraId="30B67515" w14:textId="77777777" w:rsidTr="007111C4">
        <w:tc>
          <w:tcPr>
            <w:tcW w:w="4820" w:type="dxa"/>
          </w:tcPr>
          <w:p w14:paraId="4FE3C208" w14:textId="6BEFFE3C" w:rsidR="00B811A4" w:rsidRPr="00334F18" w:rsidRDefault="00000000"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1397324644"/>
                <w15:color w:val="FFCC00"/>
                <w14:checkbox>
                  <w14:checked w14:val="1"/>
                  <w14:checkedState w14:val="2612" w14:font="MS Gothic"/>
                  <w14:uncheckedState w14:val="2610" w14:font="MS Gothic"/>
                </w14:checkbox>
              </w:sdtPr>
              <w:sdtContent>
                <w:r w:rsidR="00DE5E8C">
                  <w:rPr>
                    <w:rStyle w:val="Style2"/>
                    <w:rFonts w:ascii="MS Gothic" w:eastAsia="MS Gothic" w:hAnsi="MS Gothic" w:hint="eastAsia"/>
                    <w:sz w:val="23"/>
                    <w:szCs w:val="23"/>
                  </w:rPr>
                  <w:t>☒</w:t>
                </w:r>
              </w:sdtContent>
            </w:sdt>
            <w:r w:rsidR="00B811A4" w:rsidRPr="00334F18">
              <w:rPr>
                <w:rStyle w:val="Style2"/>
                <w:sz w:val="23"/>
                <w:szCs w:val="23"/>
              </w:rPr>
              <w:t xml:space="preserve"> 29</w:t>
            </w:r>
            <w:r w:rsidR="00B811A4" w:rsidRPr="00334F18">
              <w:rPr>
                <w:sz w:val="23"/>
                <w:szCs w:val="23"/>
              </w:rPr>
              <w:t>.1.1 yra didesnis, lyginant su įprasta klinikine praktika</w:t>
            </w:r>
          </w:p>
          <w:p w14:paraId="6F9786E4"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231EDECD" w14:textId="77777777" w:rsidR="00B811A4" w:rsidRPr="00334F18" w:rsidRDefault="00000000"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sz w:val="23"/>
                <w:szCs w:val="23"/>
              </w:rPr>
            </w:pPr>
            <w:sdt>
              <w:sdtPr>
                <w:rPr>
                  <w:rStyle w:val="Style2"/>
                  <w:sz w:val="23"/>
                  <w:szCs w:val="23"/>
                </w:rPr>
                <w:id w:val="418297090"/>
                <w15:color w:val="FFCC00"/>
                <w14:checkbox>
                  <w14:checked w14:val="0"/>
                  <w14:checkedState w14:val="2612" w14:font="MS Gothic"/>
                  <w14:uncheckedState w14:val="2610" w14:font="MS Gothic"/>
                </w14:checkbox>
              </w:sdtPr>
              <w:sdtContent>
                <w:r w:rsidR="00B811A4" w:rsidRPr="00334F18">
                  <w:rPr>
                    <w:rStyle w:val="Style2"/>
                    <w:rFonts w:ascii="Segoe UI Symbol" w:eastAsia="MS Gothic" w:hAnsi="Segoe UI Symbol" w:cs="Segoe UI Symbol"/>
                    <w:sz w:val="23"/>
                    <w:szCs w:val="23"/>
                  </w:rPr>
                  <w:t>☐</w:t>
                </w:r>
              </w:sdtContent>
            </w:sdt>
            <w:r w:rsidR="00B811A4" w:rsidRPr="00334F18">
              <w:rPr>
                <w:sz w:val="23"/>
                <w:szCs w:val="23"/>
              </w:rPr>
              <w:t xml:space="preserve"> </w:t>
            </w:r>
            <w:r w:rsidR="00B811A4" w:rsidRPr="00334F18">
              <w:rPr>
                <w:rStyle w:val="Style2"/>
                <w:sz w:val="23"/>
                <w:szCs w:val="23"/>
              </w:rPr>
              <w:t>29</w:t>
            </w:r>
            <w:r w:rsidR="00B811A4" w:rsidRPr="00334F18">
              <w:rPr>
                <w:sz w:val="23"/>
                <w:szCs w:val="23"/>
              </w:rPr>
              <w:t>.1.2 iš esmės nesiskiria, lyginant su įprasta klinikine praktika</w:t>
            </w:r>
          </w:p>
        </w:tc>
        <w:tc>
          <w:tcPr>
            <w:tcW w:w="4814" w:type="dxa"/>
          </w:tcPr>
          <w:p w14:paraId="72562F9E" w14:textId="77777777" w:rsidR="00B811A4" w:rsidRPr="00334F18" w:rsidRDefault="00000000"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724755596"/>
                <w15:color w:val="FFCC00"/>
                <w14:checkbox>
                  <w14:checked w14:val="0"/>
                  <w14:checkedState w14:val="2612" w14:font="MS Gothic"/>
                  <w14:uncheckedState w14:val="2610" w14:font="MS Gothic"/>
                </w14:checkbox>
              </w:sdtPr>
              <w:sdtContent>
                <w:r w:rsidR="00B811A4" w:rsidRPr="00334F18">
                  <w:rPr>
                    <w:rStyle w:val="Style2"/>
                    <w:rFonts w:ascii="Segoe UI Symbol" w:eastAsia="MS Gothic" w:hAnsi="Segoe UI Symbol" w:cs="Segoe UI Symbol"/>
                    <w:sz w:val="23"/>
                    <w:szCs w:val="23"/>
                  </w:rPr>
                  <w:t>☐</w:t>
                </w:r>
              </w:sdtContent>
            </w:sdt>
            <w:r w:rsidR="00B811A4" w:rsidRPr="00334F18">
              <w:rPr>
                <w:sz w:val="23"/>
                <w:szCs w:val="23"/>
              </w:rPr>
              <w:t xml:space="preserve"> </w:t>
            </w:r>
            <w:r w:rsidR="00B811A4" w:rsidRPr="00334F18">
              <w:rPr>
                <w:rStyle w:val="Style2"/>
                <w:sz w:val="23"/>
                <w:szCs w:val="23"/>
              </w:rPr>
              <w:t>29</w:t>
            </w:r>
            <w:r w:rsidR="00B811A4" w:rsidRPr="00334F18">
              <w:rPr>
                <w:sz w:val="23"/>
                <w:szCs w:val="23"/>
              </w:rPr>
              <w:t xml:space="preserve">.1.3 yra neįrodytas kaip didesnis  ar iš esmės nesiskiriantis, lyginant su įprasta klinikine praktika  </w:t>
            </w:r>
          </w:p>
          <w:p w14:paraId="6F6DB5BC"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5EE1D885" w14:textId="77777777" w:rsidR="00B811A4" w:rsidRPr="00334F18" w:rsidRDefault="00000000"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1862168479"/>
                <w15:color w:val="FFCC00"/>
                <w14:checkbox>
                  <w14:checked w14:val="0"/>
                  <w14:checkedState w14:val="2612" w14:font="MS Gothic"/>
                  <w14:uncheckedState w14:val="2610" w14:font="MS Gothic"/>
                </w14:checkbox>
              </w:sdtPr>
              <w:sdtContent>
                <w:r w:rsidR="00B811A4" w:rsidRPr="00334F18">
                  <w:rPr>
                    <w:rStyle w:val="Style2"/>
                    <w:rFonts w:ascii="Segoe UI Symbol" w:eastAsia="MS Gothic" w:hAnsi="Segoe UI Symbol" w:cs="Segoe UI Symbol"/>
                    <w:sz w:val="23"/>
                    <w:szCs w:val="23"/>
                  </w:rPr>
                  <w:t>☐</w:t>
                </w:r>
              </w:sdtContent>
            </w:sdt>
            <w:r w:rsidR="00B811A4" w:rsidRPr="00334F18">
              <w:rPr>
                <w:sz w:val="23"/>
                <w:szCs w:val="23"/>
              </w:rPr>
              <w:t xml:space="preserve"> </w:t>
            </w:r>
            <w:r w:rsidR="00B811A4" w:rsidRPr="00334F18">
              <w:rPr>
                <w:rStyle w:val="Style2"/>
                <w:sz w:val="23"/>
                <w:szCs w:val="23"/>
              </w:rPr>
              <w:t>29</w:t>
            </w:r>
            <w:r w:rsidR="00B811A4" w:rsidRPr="00334F18">
              <w:rPr>
                <w:sz w:val="23"/>
                <w:szCs w:val="23"/>
              </w:rPr>
              <w:t>.1.4 yra mažesnis, lyginant su įprasta klinikine praktika</w:t>
            </w:r>
          </w:p>
          <w:p w14:paraId="193C3D76"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370E94DC" w14:textId="4EC80DB9" w:rsidR="00B811A4" w:rsidRPr="00334F18" w:rsidRDefault="00000000"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1857960180"/>
                <w15:color w:val="FFCC00"/>
                <w14:checkbox>
                  <w14:checked w14:val="0"/>
                  <w14:checkedState w14:val="2612" w14:font="MS Gothic"/>
                  <w14:uncheckedState w14:val="2610" w14:font="MS Gothic"/>
                </w14:checkbox>
              </w:sdtPr>
              <w:sdtContent>
                <w:r w:rsidR="00B811A4" w:rsidRPr="00334F18">
                  <w:rPr>
                    <w:rStyle w:val="Style2"/>
                    <w:rFonts w:ascii="Segoe UI Symbol" w:eastAsia="MS Gothic" w:hAnsi="Segoe UI Symbol" w:cs="Segoe UI Symbol"/>
                    <w:sz w:val="23"/>
                    <w:szCs w:val="23"/>
                  </w:rPr>
                  <w:t>☐</w:t>
                </w:r>
              </w:sdtContent>
            </w:sdt>
            <w:r w:rsidR="00B811A4" w:rsidRPr="00334F18">
              <w:rPr>
                <w:sz w:val="23"/>
                <w:szCs w:val="23"/>
              </w:rPr>
              <w:t xml:space="preserve"> </w:t>
            </w:r>
            <w:r w:rsidR="00B811A4" w:rsidRPr="00334F18">
              <w:rPr>
                <w:rStyle w:val="Style2"/>
                <w:sz w:val="23"/>
                <w:szCs w:val="23"/>
              </w:rPr>
              <w:t>29</w:t>
            </w:r>
            <w:r w:rsidR="00B811A4" w:rsidRPr="00334F18">
              <w:rPr>
                <w:sz w:val="23"/>
                <w:szCs w:val="23"/>
              </w:rPr>
              <w:t>.1.5 pateikti duomenys apie palyginamąjį veiksmingumą yra netinkami vertinti</w:t>
            </w:r>
          </w:p>
          <w:p w14:paraId="45719037"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rFonts w:eastAsia="MS Gothic"/>
                <w:sz w:val="23"/>
                <w:szCs w:val="23"/>
              </w:rPr>
            </w:pPr>
          </w:p>
        </w:tc>
      </w:tr>
      <w:bookmarkEnd w:id="1"/>
      <w:tr w:rsidR="00334F18" w:rsidRPr="00334F18" w14:paraId="0E0F5168" w14:textId="77777777" w:rsidTr="00743956">
        <w:trPr>
          <w:trHeight w:val="510"/>
        </w:trPr>
        <w:tc>
          <w:tcPr>
            <w:tcW w:w="9634" w:type="dxa"/>
            <w:gridSpan w:val="2"/>
            <w:vAlign w:val="center"/>
          </w:tcPr>
          <w:p w14:paraId="62B67E12"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Style w:val="Style2"/>
                <w:rFonts w:eastAsia="MS Gothic"/>
                <w:b/>
                <w:bCs/>
                <w:sz w:val="23"/>
                <w:szCs w:val="23"/>
              </w:rPr>
            </w:pPr>
            <w:r w:rsidRPr="00334F18">
              <w:rPr>
                <w:rStyle w:val="Style2"/>
                <w:rFonts w:eastAsia="MS Gothic"/>
                <w:b/>
                <w:bCs/>
                <w:sz w:val="23"/>
                <w:szCs w:val="23"/>
              </w:rPr>
              <w:t>Kaštų naudingumas</w:t>
            </w:r>
          </w:p>
        </w:tc>
      </w:tr>
      <w:tr w:rsidR="00334F18" w:rsidRPr="00334F18" w14:paraId="6A2F62B2" w14:textId="77777777" w:rsidTr="00743956">
        <w:tc>
          <w:tcPr>
            <w:tcW w:w="4820" w:type="dxa"/>
          </w:tcPr>
          <w:p w14:paraId="7CB2C697" w14:textId="44A4E1DF" w:rsidR="00B811A4" w:rsidRPr="00334F18" w:rsidRDefault="00000000"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301657889"/>
                <w15:color w:val="FFCC00"/>
                <w14:checkbox>
                  <w14:checked w14:val="0"/>
                  <w14:checkedState w14:val="2612" w14:font="MS Gothic"/>
                  <w14:uncheckedState w14:val="2610" w14:font="MS Gothic"/>
                </w14:checkbox>
              </w:sdtPr>
              <w:sdtContent>
                <w:r w:rsidR="00B811A4" w:rsidRPr="00334F18">
                  <w:rPr>
                    <w:rStyle w:val="Style2"/>
                    <w:rFonts w:ascii="Segoe UI Symbol" w:eastAsia="MS Gothic" w:hAnsi="Segoe UI Symbol" w:cs="Segoe UI Symbol"/>
                    <w:sz w:val="23"/>
                    <w:szCs w:val="23"/>
                  </w:rPr>
                  <w:t>☐</w:t>
                </w:r>
              </w:sdtContent>
            </w:sdt>
            <w:r w:rsidR="00B811A4" w:rsidRPr="00334F18">
              <w:rPr>
                <w:sz w:val="23"/>
                <w:szCs w:val="23"/>
              </w:rPr>
              <w:t xml:space="preserve"> 29.2.1 atitinka referencinę naudingumo vertę taikant arba netaikant</w:t>
            </w:r>
            <w:r w:rsidR="00437623" w:rsidRPr="00334F18">
              <w:rPr>
                <w:b/>
                <w:bCs/>
                <w:sz w:val="23"/>
                <w:szCs w:val="23"/>
              </w:rPr>
              <w:t xml:space="preserve"> </w:t>
            </w:r>
            <w:r w:rsidR="00B811A4" w:rsidRPr="00334F18">
              <w:rPr>
                <w:sz w:val="23"/>
                <w:szCs w:val="23"/>
              </w:rPr>
              <w:t>PGS</w:t>
            </w:r>
          </w:p>
          <w:p w14:paraId="71797774"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5BE88CDB" w14:textId="60C4FFA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rFonts w:eastAsia="MS Gothic"/>
                <w:sz w:val="23"/>
                <w:szCs w:val="23"/>
              </w:rPr>
            </w:pPr>
          </w:p>
        </w:tc>
        <w:tc>
          <w:tcPr>
            <w:tcW w:w="4814" w:type="dxa"/>
          </w:tcPr>
          <w:p w14:paraId="0370A72C" w14:textId="130D4ED1" w:rsidR="00B811A4" w:rsidRPr="00334F18" w:rsidRDefault="00000000"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791860283"/>
                <w15:color w:val="FFCC00"/>
                <w14:checkbox>
                  <w14:checked w14:val="1"/>
                  <w14:checkedState w14:val="2612" w14:font="MS Gothic"/>
                  <w14:uncheckedState w14:val="2610" w14:font="MS Gothic"/>
                </w14:checkbox>
              </w:sdtPr>
              <w:sdtContent>
                <w:r w:rsidR="00E71C23">
                  <w:rPr>
                    <w:rStyle w:val="Style2"/>
                    <w:rFonts w:ascii="MS Gothic" w:eastAsia="MS Gothic" w:hAnsi="MS Gothic" w:hint="eastAsia"/>
                    <w:sz w:val="23"/>
                    <w:szCs w:val="23"/>
                  </w:rPr>
                  <w:t>☒</w:t>
                </w:r>
              </w:sdtContent>
            </w:sdt>
            <w:r w:rsidR="00B811A4" w:rsidRPr="00334F18">
              <w:rPr>
                <w:sz w:val="23"/>
                <w:szCs w:val="23"/>
              </w:rPr>
              <w:t xml:space="preserve"> 29.2.3 neatitinka referencinės naudingumo vertės taikant arba netaikant PGS</w:t>
            </w:r>
          </w:p>
          <w:p w14:paraId="13C9EEE5"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289E6691"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5FD1976C" w14:textId="77777777" w:rsidR="00B811A4" w:rsidRPr="00334F18" w:rsidRDefault="00000000"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3"/>
                <w:szCs w:val="23"/>
              </w:rPr>
            </w:pPr>
            <w:sdt>
              <w:sdtPr>
                <w:rPr>
                  <w:rStyle w:val="Style2"/>
                  <w:sz w:val="23"/>
                  <w:szCs w:val="23"/>
                </w:rPr>
                <w:id w:val="-943849855"/>
                <w15:color w:val="FFCC00"/>
                <w14:checkbox>
                  <w14:checked w14:val="0"/>
                  <w14:checkedState w14:val="2612" w14:font="MS Gothic"/>
                  <w14:uncheckedState w14:val="2610" w14:font="MS Gothic"/>
                </w14:checkbox>
              </w:sdtPr>
              <w:sdtContent>
                <w:r w:rsidR="00B811A4" w:rsidRPr="00334F18">
                  <w:rPr>
                    <w:rStyle w:val="Style2"/>
                    <w:rFonts w:ascii="Segoe UI Symbol" w:eastAsia="MS Gothic" w:hAnsi="Segoe UI Symbol" w:cs="Segoe UI Symbol"/>
                    <w:sz w:val="23"/>
                    <w:szCs w:val="23"/>
                  </w:rPr>
                  <w:t>☐</w:t>
                </w:r>
              </w:sdtContent>
            </w:sdt>
            <w:r w:rsidR="00B811A4" w:rsidRPr="00334F18">
              <w:rPr>
                <w:sz w:val="23"/>
                <w:szCs w:val="23"/>
              </w:rPr>
              <w:t xml:space="preserve"> 29.2.5 pateikti duomenys apie kaštų naudingumą yra netinkami vertinti</w:t>
            </w:r>
          </w:p>
          <w:p w14:paraId="06AB06C5"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rFonts w:eastAsia="MS Gothic"/>
                <w:sz w:val="23"/>
                <w:szCs w:val="23"/>
              </w:rPr>
            </w:pPr>
          </w:p>
        </w:tc>
      </w:tr>
      <w:tr w:rsidR="00334F18" w:rsidRPr="00334F18" w14:paraId="632C9193" w14:textId="77777777" w:rsidTr="00027464">
        <w:tc>
          <w:tcPr>
            <w:tcW w:w="9634" w:type="dxa"/>
            <w:gridSpan w:val="2"/>
          </w:tcPr>
          <w:p w14:paraId="15C289C9" w14:textId="47C5A3CE" w:rsidR="007111C4" w:rsidRPr="00334F18" w:rsidRDefault="00000000"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sz w:val="23"/>
                <w:szCs w:val="23"/>
              </w:rPr>
            </w:pPr>
            <w:sdt>
              <w:sdtPr>
                <w:rPr>
                  <w:rStyle w:val="Style2"/>
                  <w:sz w:val="23"/>
                  <w:szCs w:val="23"/>
                </w:rPr>
                <w:id w:val="1266579562"/>
                <w15:color w:val="FFCC00"/>
                <w14:checkbox>
                  <w14:checked w14:val="0"/>
                  <w14:checkedState w14:val="2612" w14:font="MS Gothic"/>
                  <w14:uncheckedState w14:val="2610" w14:font="MS Gothic"/>
                </w14:checkbox>
              </w:sdtPr>
              <w:sdtContent>
                <w:r w:rsidR="007111C4" w:rsidRPr="00334F18">
                  <w:rPr>
                    <w:rStyle w:val="Style2"/>
                    <w:rFonts w:ascii="Segoe UI Symbol" w:eastAsia="MS Gothic" w:hAnsi="Segoe UI Symbol" w:cs="Segoe UI Symbol"/>
                    <w:sz w:val="23"/>
                    <w:szCs w:val="23"/>
                  </w:rPr>
                  <w:t>☐</w:t>
                </w:r>
              </w:sdtContent>
            </w:sdt>
            <w:r w:rsidR="007111C4" w:rsidRPr="00334F18">
              <w:rPr>
                <w:sz w:val="23"/>
                <w:szCs w:val="23"/>
              </w:rPr>
              <w:t xml:space="preserve"> Vykdant Aprašo &lt;17</w:t>
            </w:r>
            <w:r w:rsidR="007111C4" w:rsidRPr="00334F18">
              <w:rPr>
                <w:sz w:val="23"/>
                <w:szCs w:val="23"/>
                <w:vertAlign w:val="superscript"/>
              </w:rPr>
              <w:t>3</w:t>
            </w:r>
            <w:r w:rsidR="007111C4" w:rsidRPr="00334F18">
              <w:rPr>
                <w:sz w:val="23"/>
                <w:szCs w:val="23"/>
              </w:rPr>
              <w:t>.1&gt;&lt;17</w:t>
            </w:r>
            <w:r w:rsidR="007111C4" w:rsidRPr="00334F18">
              <w:rPr>
                <w:sz w:val="23"/>
                <w:szCs w:val="23"/>
                <w:vertAlign w:val="superscript"/>
              </w:rPr>
              <w:t>3</w:t>
            </w:r>
            <w:r w:rsidR="007111C4" w:rsidRPr="00334F18">
              <w:rPr>
                <w:sz w:val="23"/>
                <w:szCs w:val="23"/>
              </w:rPr>
              <w:t>.2&gt;&lt;17</w:t>
            </w:r>
            <w:r w:rsidR="007111C4" w:rsidRPr="00334F18">
              <w:rPr>
                <w:sz w:val="23"/>
                <w:szCs w:val="23"/>
                <w:vertAlign w:val="superscript"/>
              </w:rPr>
              <w:t>3</w:t>
            </w:r>
            <w:r w:rsidR="007111C4" w:rsidRPr="00334F18">
              <w:rPr>
                <w:sz w:val="23"/>
                <w:szCs w:val="23"/>
              </w:rPr>
              <w:t>.3&gt; punktą vaistinio (-ų) preparato (-ų) ekonominis vertinimas neatliekamas, išvados dėl kaštų naudingumo neteikiamos</w:t>
            </w:r>
          </w:p>
        </w:tc>
      </w:tr>
    </w:tbl>
    <w:p w14:paraId="08D5B3B6" w14:textId="292D1124" w:rsidR="0061611B" w:rsidRPr="00334F18" w:rsidRDefault="0061611B" w:rsidP="0061611B">
      <w:pPr>
        <w:rPr>
          <w:i/>
          <w:szCs w:val="22"/>
        </w:rPr>
      </w:pPr>
    </w:p>
    <w:p w14:paraId="1B85C083" w14:textId="77777777" w:rsidR="009E44AE" w:rsidRPr="00334F18" w:rsidRDefault="009E44AE" w:rsidP="00381024"/>
    <w:p w14:paraId="3B2D1F25" w14:textId="3A80E19F" w:rsidR="000001B0" w:rsidRPr="00334F18" w:rsidRDefault="000001B0" w:rsidP="00CC09D4">
      <w:pPr>
        <w:pStyle w:val="Sraopastraipa"/>
        <w:numPr>
          <w:ilvl w:val="0"/>
          <w:numId w:val="12"/>
        </w:numPr>
        <w:ind w:left="567" w:hanging="567"/>
      </w:pPr>
      <w:r w:rsidRPr="00334F18">
        <w:rPr>
          <w:b/>
        </w:rPr>
        <w:t>REKOME</w:t>
      </w:r>
      <w:r w:rsidR="00D83182" w:rsidRPr="00334F18">
        <w:rPr>
          <w:b/>
        </w:rPr>
        <w:t>N</w:t>
      </w:r>
      <w:r w:rsidRPr="00334F18">
        <w:rPr>
          <w:b/>
        </w:rPr>
        <w:t>DACIJA</w:t>
      </w:r>
    </w:p>
    <w:p w14:paraId="35E33D78" w14:textId="59232BB3" w:rsidR="00B811A4" w:rsidRPr="00334F18" w:rsidRDefault="00B811A4" w:rsidP="00B811A4">
      <w:pPr>
        <w:pStyle w:val="Sraopastraipa"/>
        <w:ind w:left="567"/>
        <w:rPr>
          <w:b/>
        </w:rPr>
      </w:pPr>
    </w:p>
    <w:p w14:paraId="0533D875" w14:textId="53A425DF" w:rsidR="00E71C23" w:rsidRPr="00603B3A" w:rsidRDefault="00B811A4" w:rsidP="00E71C23">
      <w:pPr>
        <w:jc w:val="both"/>
        <w:rPr>
          <w:lang w:eastAsia="lt-LT"/>
        </w:rPr>
      </w:pPr>
      <w:r w:rsidRPr="00334F18">
        <w:t>Vadovaujantis Vaistinių preparatų ir medicinos pagalbos priemonių įrašymo į kompensavimo sąrašus ir jų keitimo tvarkos aprašo, patvirtinto Lietuvos Respublikos sveikatos apsaugos ministro 2002 m. balandžio 5 d. įsakymu Nr. V-159 „Dėl vaistinių preparatų ir medicinos pagalbos priemonių įrašymo į kompensavimo sąrašus ir jų keitimo tvarkos aprašo patvirtinimo“,</w:t>
      </w:r>
      <w:r w:rsidR="00E71C23">
        <w:t xml:space="preserve"> vadovaujantis</w:t>
      </w:r>
      <w:r w:rsidR="00E71C23" w:rsidRPr="00603B3A">
        <w:t xml:space="preserve"> </w:t>
      </w:r>
      <w:bookmarkStart w:id="2" w:name="_Hlk190784826"/>
      <w:r w:rsidR="00E71C23" w:rsidRPr="00603B3A">
        <w:rPr>
          <w:lang w:eastAsia="lt-LT"/>
        </w:rPr>
        <w:t>30</w:t>
      </w:r>
      <w:r w:rsidR="00E71C23" w:rsidRPr="00603B3A">
        <w:rPr>
          <w:vertAlign w:val="superscript"/>
          <w:lang w:eastAsia="lt-LT"/>
        </w:rPr>
        <w:t>1</w:t>
      </w:r>
      <w:r w:rsidR="00E71C23" w:rsidRPr="00603B3A">
        <w:rPr>
          <w:lang w:eastAsia="lt-LT"/>
        </w:rPr>
        <w:t>.2. papunkčiu rekomenduojama kompensuoti vaistinį preparatą pagal paraiškoje nurodytą indikaciją (arba jos dalį) su arba be skyrimo sąlygų, jei, pateikus naują ar atnaujintą PGS, kaštų naudingumas atitinka referencinę naudingumo vertę, kai vertinimo išvados atitinka Aprašo 29.1.1 ir 29.2.3 papunkčiuose numatytas sąlygas</w:t>
      </w:r>
      <w:r w:rsidR="00E71C23">
        <w:rPr>
          <w:lang w:eastAsia="lt-LT"/>
        </w:rPr>
        <w:t>.</w:t>
      </w:r>
    </w:p>
    <w:bookmarkEnd w:id="2"/>
    <w:p w14:paraId="3D60BB06" w14:textId="77777777" w:rsidR="00B811A4" w:rsidRPr="00334F18" w:rsidRDefault="00B811A4" w:rsidP="00B811A4">
      <w:pPr>
        <w:widowControl w:val="0"/>
        <w:tabs>
          <w:tab w:val="left" w:pos="1418"/>
        </w:tabs>
        <w:suppressAutoHyphens/>
        <w:spacing w:line="360" w:lineRule="atLeast"/>
        <w:jc w:val="center"/>
        <w:textAlignment w:val="center"/>
        <w:rPr>
          <w:lang w:eastAsia="lt-LT"/>
        </w:rPr>
      </w:pPr>
    </w:p>
    <w:p w14:paraId="42F3A222" w14:textId="77777777" w:rsidR="00B811A4" w:rsidRPr="00334F18" w:rsidRDefault="00B811A4" w:rsidP="00B811A4">
      <w:pPr>
        <w:tabs>
          <w:tab w:val="left" w:pos="426"/>
        </w:tabs>
        <w:jc w:val="both"/>
        <w:rPr>
          <w:b/>
          <w:lang w:eastAsia="lt-LT"/>
        </w:rPr>
      </w:pPr>
      <w:r w:rsidRPr="00334F18">
        <w:rPr>
          <w:b/>
          <w:lang w:eastAsia="lt-LT"/>
        </w:rPr>
        <w:t xml:space="preserve">4.3 Siūloma (-os) kompensuoti terapinės indikacijos ir skyrimo sąlygos </w:t>
      </w:r>
    </w:p>
    <w:p w14:paraId="179FBABC" w14:textId="77777777" w:rsidR="00B811A4" w:rsidRPr="00334F18" w:rsidRDefault="00B811A4" w:rsidP="00B811A4">
      <w:pPr>
        <w:tabs>
          <w:tab w:val="left" w:pos="426"/>
        </w:tabs>
        <w:jc w:val="both"/>
        <w:rPr>
          <w:b/>
          <w:lang w:eastAsia="lt-LT"/>
        </w:rPr>
      </w:pPr>
    </w:p>
    <w:p w14:paraId="65CB839B" w14:textId="77777777" w:rsidR="00B811A4" w:rsidRPr="00334F18" w:rsidRDefault="00B811A4" w:rsidP="00B811A4">
      <w:pPr>
        <w:pStyle w:val="Betarp"/>
        <w:rPr>
          <w:rFonts w:ascii="Times New Roman" w:hAnsi="Times New Roman"/>
          <w:b/>
          <w:sz w:val="24"/>
          <w:szCs w:val="24"/>
          <w:lang w:eastAsia="lt-LT"/>
        </w:rPr>
      </w:pPr>
      <w:r w:rsidRPr="00334F18">
        <w:rPr>
          <w:rFonts w:ascii="Times New Roman" w:hAnsi="Times New Roman"/>
          <w:b/>
          <w:sz w:val="24"/>
          <w:szCs w:val="24"/>
          <w:lang w:eastAsia="lt-LT"/>
        </w:rPr>
        <w:t>Terapinės indikacijos</w:t>
      </w:r>
    </w:p>
    <w:p w14:paraId="5BF8EB62" w14:textId="77777777" w:rsidR="005D55A1" w:rsidRPr="00603B3A" w:rsidRDefault="005D55A1" w:rsidP="005D55A1">
      <w:pPr>
        <w:jc w:val="both"/>
      </w:pPr>
      <w:r w:rsidRPr="00806D71">
        <w:t xml:space="preserve">Donanemabas skirtas gydyti suaugusiems pacientams, kuriems yra kliniškai diagnozuotas lengvas kognityvinis sutrikimas ar nesunki demencija dėl Alzheimerio ligos (ankstyva simptominė Alzheimerio liga), kurie yra heterozigotiniai apolipoproteino E ε4 (ApoE ε4) alelio nešiotojai arba neturi ApoE ε4 alelio ir turi patvirtintą amiloido patologiją (žr. 4.4 skyrių). </w:t>
      </w:r>
    </w:p>
    <w:p w14:paraId="3BC08150" w14:textId="77777777" w:rsidR="00B811A4" w:rsidRDefault="00B811A4" w:rsidP="00B811A4">
      <w:pPr>
        <w:pStyle w:val="Betarp"/>
        <w:rPr>
          <w:rFonts w:ascii="Times New Roman" w:hAnsi="Times New Roman"/>
          <w:sz w:val="24"/>
          <w:szCs w:val="24"/>
        </w:rPr>
      </w:pPr>
    </w:p>
    <w:p w14:paraId="376C15BB" w14:textId="15A37A20" w:rsidR="00555937" w:rsidRDefault="00555937" w:rsidP="00555937">
      <w:pPr>
        <w:jc w:val="both"/>
      </w:pPr>
      <w:r>
        <w:t xml:space="preserve">TLK- 10 AM kodai: </w:t>
      </w:r>
      <w:r w:rsidRPr="0074211F">
        <w:t>F00</w:t>
      </w:r>
      <w:r>
        <w:t xml:space="preserve">, </w:t>
      </w:r>
      <w:r w:rsidRPr="0074211F">
        <w:t>G30</w:t>
      </w:r>
      <w:r>
        <w:t>.</w:t>
      </w:r>
    </w:p>
    <w:p w14:paraId="17202DE0" w14:textId="77777777" w:rsidR="00555937" w:rsidRPr="00334F18" w:rsidRDefault="00555937" w:rsidP="00B811A4">
      <w:pPr>
        <w:pStyle w:val="Betarp"/>
        <w:rPr>
          <w:rFonts w:ascii="Times New Roman" w:hAnsi="Times New Roman"/>
          <w:sz w:val="24"/>
          <w:szCs w:val="24"/>
        </w:rPr>
      </w:pPr>
    </w:p>
    <w:p w14:paraId="632DB4B9" w14:textId="77777777" w:rsidR="00B811A4" w:rsidRPr="00334F18" w:rsidRDefault="00B811A4" w:rsidP="00B811A4">
      <w:pPr>
        <w:pStyle w:val="Betarp"/>
        <w:rPr>
          <w:rFonts w:ascii="Times New Roman" w:hAnsi="Times New Roman"/>
          <w:b/>
          <w:sz w:val="24"/>
          <w:szCs w:val="24"/>
        </w:rPr>
      </w:pPr>
      <w:r w:rsidRPr="00334F18">
        <w:rPr>
          <w:rFonts w:ascii="Times New Roman" w:hAnsi="Times New Roman"/>
          <w:b/>
          <w:sz w:val="24"/>
          <w:szCs w:val="24"/>
        </w:rPr>
        <w:t>Skyrimo sąlygos</w:t>
      </w:r>
    </w:p>
    <w:p w14:paraId="5EECF71B" w14:textId="1CDC9A55" w:rsidR="00555937" w:rsidRPr="00555937" w:rsidRDefault="00555937" w:rsidP="00555937">
      <w:pPr>
        <w:jc w:val="both"/>
        <w:rPr>
          <w:bCs/>
        </w:rPr>
      </w:pPr>
      <w:r w:rsidRPr="00555937">
        <w:rPr>
          <w:bCs/>
        </w:rPr>
        <w:t xml:space="preserve">Skiriamas pacientams, kuriems yra diagnozuota ankstyva simptominė (nustatyta lengvas kognityvinis sutrikimas arba lengva demencija) Alzheimerio liga ir </w:t>
      </w:r>
      <w:r w:rsidRPr="00555937">
        <w:t xml:space="preserve">kurie nėra apolipoproteino ε4 (ApoE4) nešiotojai arba yra heterozigotai su patvirtinta amiloido patologija. Vartojant </w:t>
      </w:r>
      <w:r w:rsidR="00E7328C">
        <w:t>d</w:t>
      </w:r>
      <w:r w:rsidR="00E7328C" w:rsidRPr="00806D71">
        <w:t>onanemab</w:t>
      </w:r>
      <w:r w:rsidRPr="00555937">
        <w:t>o būtina kas</w:t>
      </w:r>
      <w:r w:rsidRPr="00555937">
        <w:rPr>
          <w:bCs/>
        </w:rPr>
        <w:t xml:space="preserve"> </w:t>
      </w:r>
      <w:r w:rsidRPr="00555937">
        <w:rPr>
          <w:bCs/>
        </w:rPr>
        <w:lastRenderedPageBreak/>
        <w:t xml:space="preserve">6 mėnesius atlikti pažintinių funkcijų tyrimus ir įvertinti klinikinius simptomus. Jei pacientui išsivysto vidutinio sunkumo kognityvinis sutrikimas arba demencija, gydymą reikia nutraukti. </w:t>
      </w:r>
      <w:r w:rsidRPr="00555937">
        <w:t xml:space="preserve">Gydymo metu būtina laikytis preparato charakteristikų santraukoje nurodytų rekomendacijų dėl su amiloidu susijusių vaizdinių tyrimo pokyčių stebėsenos, vartojimo sustabdymo ir nutraukimo. </w:t>
      </w:r>
      <w:r w:rsidRPr="00555937">
        <w:rPr>
          <w:bCs/>
        </w:rPr>
        <w:t xml:space="preserve">Jei gydymo metu neatsiranda klinikinių aplinkybių, dėl kurių būtina nutraukti gydymą, gydymo </w:t>
      </w:r>
      <w:r w:rsidR="00E7328C">
        <w:rPr>
          <w:bCs/>
        </w:rPr>
        <w:t>d</w:t>
      </w:r>
      <w:r w:rsidR="00E7328C" w:rsidRPr="00806D71">
        <w:t>onanemab</w:t>
      </w:r>
      <w:r w:rsidR="00E7328C">
        <w:t>u</w:t>
      </w:r>
      <w:r w:rsidRPr="00555937">
        <w:rPr>
          <w:bCs/>
        </w:rPr>
        <w:t xml:space="preserve"> trukmė ne ilgesnė kaip 18 mėnesių.</w:t>
      </w:r>
    </w:p>
    <w:p w14:paraId="43D09E2D" w14:textId="77777777" w:rsidR="00555937" w:rsidRPr="00555937" w:rsidRDefault="00555937" w:rsidP="00555937">
      <w:pPr>
        <w:jc w:val="both"/>
        <w:rPr>
          <w:bCs/>
        </w:rPr>
      </w:pPr>
      <w:r w:rsidRPr="00555937">
        <w:t xml:space="preserve">Skiria gydytojas neurologas, teikiantis tretinio lygio paslaugas. </w:t>
      </w:r>
    </w:p>
    <w:p w14:paraId="7D5C6700" w14:textId="77777777" w:rsidR="00D5470B" w:rsidRPr="00334F18" w:rsidRDefault="00D5470B" w:rsidP="005D55A1"/>
    <w:p w14:paraId="33B8DE04" w14:textId="77777777" w:rsidR="00283E59" w:rsidRPr="00334F18" w:rsidRDefault="00283E59" w:rsidP="00283E59">
      <w:pPr>
        <w:widowControl w:val="0"/>
        <w:tabs>
          <w:tab w:val="left" w:pos="1418"/>
        </w:tabs>
        <w:suppressAutoHyphens/>
        <w:spacing w:line="360" w:lineRule="atLeast"/>
        <w:jc w:val="center"/>
        <w:textAlignment w:val="center"/>
      </w:pPr>
      <w:r w:rsidRPr="00334F18">
        <w:rPr>
          <w:lang w:eastAsia="lt-LT"/>
        </w:rPr>
        <w:t>____________________________</w:t>
      </w:r>
    </w:p>
    <w:p w14:paraId="562A1372" w14:textId="77777777" w:rsidR="00283E59" w:rsidRPr="00334F18" w:rsidRDefault="00283E59" w:rsidP="00283E59">
      <w:pPr>
        <w:jc w:val="both"/>
        <w:rPr>
          <w:b/>
          <w:sz w:val="20"/>
        </w:rPr>
      </w:pPr>
    </w:p>
    <w:p w14:paraId="7CDFF220" w14:textId="58191D98" w:rsidR="000723FF" w:rsidRPr="00334F18" w:rsidRDefault="000723FF" w:rsidP="00824B92">
      <w:pPr>
        <w:rPr>
          <w:b/>
        </w:rPr>
      </w:pPr>
    </w:p>
    <w:sectPr w:rsidR="000723FF" w:rsidRPr="00334F18" w:rsidSect="00063A50">
      <w:headerReference w:type="first" r:id="rId7"/>
      <w:footerReference w:type="first" r:id="rId8"/>
      <w:pgSz w:w="11907" w:h="16840" w:code="9"/>
      <w:pgMar w:top="1134" w:right="567" w:bottom="1134" w:left="1701" w:header="646" w:footer="0"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C1449" w14:textId="77777777" w:rsidR="00AB2939" w:rsidRDefault="00AB2939">
      <w:r>
        <w:separator/>
      </w:r>
    </w:p>
  </w:endnote>
  <w:endnote w:type="continuationSeparator" w:id="0">
    <w:p w14:paraId="686573E1" w14:textId="77777777" w:rsidR="00AB2939" w:rsidRDefault="00AB2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D3368" w14:textId="77777777" w:rsidR="00347FAA" w:rsidRDefault="00347FAA">
    <w:pPr>
      <w:pStyle w:val="Porat"/>
      <w:jc w:val="right"/>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8BC64" w14:textId="77777777" w:rsidR="00AB2939" w:rsidRDefault="00AB2939">
      <w:r>
        <w:separator/>
      </w:r>
    </w:p>
  </w:footnote>
  <w:footnote w:type="continuationSeparator" w:id="0">
    <w:p w14:paraId="3DD8CDFA" w14:textId="77777777" w:rsidR="00AB2939" w:rsidRDefault="00AB2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E1C8F" w14:textId="77777777" w:rsidR="00347FAA" w:rsidRDefault="00347FAA" w:rsidP="00FD793C">
    <w:pPr>
      <w:pStyle w:val="Antrats"/>
      <w:ind w:left="612"/>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7D8E"/>
    <w:multiLevelType w:val="hybridMultilevel"/>
    <w:tmpl w:val="10FAC1CC"/>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 w15:restartNumberingAfterBreak="0">
    <w:nsid w:val="01276250"/>
    <w:multiLevelType w:val="hybridMultilevel"/>
    <w:tmpl w:val="3B6C29F4"/>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2220161"/>
    <w:multiLevelType w:val="hybridMultilevel"/>
    <w:tmpl w:val="755A818E"/>
    <w:lvl w:ilvl="0" w:tplc="832E0E86">
      <w:start w:val="1"/>
      <w:numFmt w:val="bullet"/>
      <w:lvlText w:val="-"/>
      <w:lvlJc w:val="left"/>
      <w:pPr>
        <w:ind w:left="720" w:hanging="360"/>
      </w:pPr>
      <w:rPr>
        <w:rFonts w:ascii="Times New Roman" w:eastAsia="Arial"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9E0081E"/>
    <w:multiLevelType w:val="multilevel"/>
    <w:tmpl w:val="0427001F"/>
    <w:lvl w:ilvl="0">
      <w:start w:val="1"/>
      <w:numFmt w:val="decimal"/>
      <w:lvlText w:val="%1."/>
      <w:lvlJc w:val="left"/>
      <w:pPr>
        <w:ind w:left="360" w:hanging="360"/>
      </w:pPr>
      <w:rPr>
        <w:rFonts w:hint="default"/>
        <w:b w:val="0"/>
        <w:bCs w:val="0"/>
      </w:rPr>
    </w:lvl>
    <w:lvl w:ilvl="1">
      <w:start w:val="1"/>
      <w:numFmt w:val="decimal"/>
      <w:lvlText w:val="%1.%2."/>
      <w:lvlJc w:val="left"/>
      <w:pPr>
        <w:ind w:left="28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AD2E58"/>
    <w:multiLevelType w:val="hybridMultilevel"/>
    <w:tmpl w:val="F6943F7A"/>
    <w:lvl w:ilvl="0" w:tplc="AB64BC8E">
      <w:start w:val="1"/>
      <w:numFmt w:val="decimal"/>
      <w:lvlText w:val="%1."/>
      <w:lvlJc w:val="left"/>
      <w:pPr>
        <w:ind w:left="720" w:hanging="360"/>
      </w:pPr>
      <w:rPr>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A101C59"/>
    <w:multiLevelType w:val="hybridMultilevel"/>
    <w:tmpl w:val="64544F3A"/>
    <w:lvl w:ilvl="0" w:tplc="04270001">
      <w:start w:val="1"/>
      <w:numFmt w:val="bullet"/>
      <w:lvlText w:val=""/>
      <w:lvlJc w:val="left"/>
      <w:pPr>
        <w:ind w:left="2160" w:hanging="360"/>
      </w:pPr>
      <w:rPr>
        <w:rFonts w:ascii="Symbol" w:hAnsi="Symbol" w:hint="default"/>
      </w:rPr>
    </w:lvl>
    <w:lvl w:ilvl="1" w:tplc="04270003" w:tentative="1">
      <w:start w:val="1"/>
      <w:numFmt w:val="bullet"/>
      <w:lvlText w:val="o"/>
      <w:lvlJc w:val="left"/>
      <w:pPr>
        <w:ind w:left="2880" w:hanging="360"/>
      </w:pPr>
      <w:rPr>
        <w:rFonts w:ascii="Courier New" w:hAnsi="Courier New" w:cs="Courier New" w:hint="default"/>
      </w:rPr>
    </w:lvl>
    <w:lvl w:ilvl="2" w:tplc="04270005" w:tentative="1">
      <w:start w:val="1"/>
      <w:numFmt w:val="bullet"/>
      <w:lvlText w:val=""/>
      <w:lvlJc w:val="left"/>
      <w:pPr>
        <w:ind w:left="3600" w:hanging="360"/>
      </w:pPr>
      <w:rPr>
        <w:rFonts w:ascii="Wingdings" w:hAnsi="Wingdings" w:hint="default"/>
      </w:rPr>
    </w:lvl>
    <w:lvl w:ilvl="3" w:tplc="04270001" w:tentative="1">
      <w:start w:val="1"/>
      <w:numFmt w:val="bullet"/>
      <w:lvlText w:val=""/>
      <w:lvlJc w:val="left"/>
      <w:pPr>
        <w:ind w:left="4320" w:hanging="360"/>
      </w:pPr>
      <w:rPr>
        <w:rFonts w:ascii="Symbol" w:hAnsi="Symbol" w:hint="default"/>
      </w:rPr>
    </w:lvl>
    <w:lvl w:ilvl="4" w:tplc="04270003" w:tentative="1">
      <w:start w:val="1"/>
      <w:numFmt w:val="bullet"/>
      <w:lvlText w:val="o"/>
      <w:lvlJc w:val="left"/>
      <w:pPr>
        <w:ind w:left="5040" w:hanging="360"/>
      </w:pPr>
      <w:rPr>
        <w:rFonts w:ascii="Courier New" w:hAnsi="Courier New" w:cs="Courier New" w:hint="default"/>
      </w:rPr>
    </w:lvl>
    <w:lvl w:ilvl="5" w:tplc="04270005" w:tentative="1">
      <w:start w:val="1"/>
      <w:numFmt w:val="bullet"/>
      <w:lvlText w:val=""/>
      <w:lvlJc w:val="left"/>
      <w:pPr>
        <w:ind w:left="5760" w:hanging="360"/>
      </w:pPr>
      <w:rPr>
        <w:rFonts w:ascii="Wingdings" w:hAnsi="Wingdings" w:hint="default"/>
      </w:rPr>
    </w:lvl>
    <w:lvl w:ilvl="6" w:tplc="04270001" w:tentative="1">
      <w:start w:val="1"/>
      <w:numFmt w:val="bullet"/>
      <w:lvlText w:val=""/>
      <w:lvlJc w:val="left"/>
      <w:pPr>
        <w:ind w:left="6480" w:hanging="360"/>
      </w:pPr>
      <w:rPr>
        <w:rFonts w:ascii="Symbol" w:hAnsi="Symbol" w:hint="default"/>
      </w:rPr>
    </w:lvl>
    <w:lvl w:ilvl="7" w:tplc="04270003" w:tentative="1">
      <w:start w:val="1"/>
      <w:numFmt w:val="bullet"/>
      <w:lvlText w:val="o"/>
      <w:lvlJc w:val="left"/>
      <w:pPr>
        <w:ind w:left="7200" w:hanging="360"/>
      </w:pPr>
      <w:rPr>
        <w:rFonts w:ascii="Courier New" w:hAnsi="Courier New" w:cs="Courier New" w:hint="default"/>
      </w:rPr>
    </w:lvl>
    <w:lvl w:ilvl="8" w:tplc="04270005" w:tentative="1">
      <w:start w:val="1"/>
      <w:numFmt w:val="bullet"/>
      <w:lvlText w:val=""/>
      <w:lvlJc w:val="left"/>
      <w:pPr>
        <w:ind w:left="7920" w:hanging="360"/>
      </w:pPr>
      <w:rPr>
        <w:rFonts w:ascii="Wingdings" w:hAnsi="Wingdings" w:hint="default"/>
      </w:rPr>
    </w:lvl>
  </w:abstractNum>
  <w:abstractNum w:abstractNumId="6" w15:restartNumberingAfterBreak="0">
    <w:nsid w:val="1A816B09"/>
    <w:multiLevelType w:val="hybridMultilevel"/>
    <w:tmpl w:val="8FBEE17A"/>
    <w:lvl w:ilvl="0" w:tplc="0427000F">
      <w:start w:val="16"/>
      <w:numFmt w:val="decimal"/>
      <w:lvlText w:val="%1."/>
      <w:lvlJc w:val="left"/>
      <w:pPr>
        <w:ind w:left="501" w:hanging="360"/>
      </w:pPr>
      <w:rPr>
        <w:rFonts w:hint="default"/>
      </w:rPr>
    </w:lvl>
    <w:lvl w:ilvl="1" w:tplc="04270019" w:tentative="1">
      <w:start w:val="1"/>
      <w:numFmt w:val="lowerLetter"/>
      <w:lvlText w:val="%2."/>
      <w:lvlJc w:val="left"/>
      <w:pPr>
        <w:ind w:left="1581" w:hanging="360"/>
      </w:pPr>
    </w:lvl>
    <w:lvl w:ilvl="2" w:tplc="0427001B" w:tentative="1">
      <w:start w:val="1"/>
      <w:numFmt w:val="lowerRoman"/>
      <w:lvlText w:val="%3."/>
      <w:lvlJc w:val="right"/>
      <w:pPr>
        <w:ind w:left="2301" w:hanging="180"/>
      </w:pPr>
    </w:lvl>
    <w:lvl w:ilvl="3" w:tplc="0427000F" w:tentative="1">
      <w:start w:val="1"/>
      <w:numFmt w:val="decimal"/>
      <w:lvlText w:val="%4."/>
      <w:lvlJc w:val="left"/>
      <w:pPr>
        <w:ind w:left="3021" w:hanging="360"/>
      </w:pPr>
    </w:lvl>
    <w:lvl w:ilvl="4" w:tplc="04270019" w:tentative="1">
      <w:start w:val="1"/>
      <w:numFmt w:val="lowerLetter"/>
      <w:lvlText w:val="%5."/>
      <w:lvlJc w:val="left"/>
      <w:pPr>
        <w:ind w:left="3741" w:hanging="360"/>
      </w:pPr>
    </w:lvl>
    <w:lvl w:ilvl="5" w:tplc="0427001B" w:tentative="1">
      <w:start w:val="1"/>
      <w:numFmt w:val="lowerRoman"/>
      <w:lvlText w:val="%6."/>
      <w:lvlJc w:val="right"/>
      <w:pPr>
        <w:ind w:left="4461" w:hanging="180"/>
      </w:pPr>
    </w:lvl>
    <w:lvl w:ilvl="6" w:tplc="0427000F" w:tentative="1">
      <w:start w:val="1"/>
      <w:numFmt w:val="decimal"/>
      <w:lvlText w:val="%7."/>
      <w:lvlJc w:val="left"/>
      <w:pPr>
        <w:ind w:left="5181" w:hanging="360"/>
      </w:pPr>
    </w:lvl>
    <w:lvl w:ilvl="7" w:tplc="04270019" w:tentative="1">
      <w:start w:val="1"/>
      <w:numFmt w:val="lowerLetter"/>
      <w:lvlText w:val="%8."/>
      <w:lvlJc w:val="left"/>
      <w:pPr>
        <w:ind w:left="5901" w:hanging="360"/>
      </w:pPr>
    </w:lvl>
    <w:lvl w:ilvl="8" w:tplc="0427001B" w:tentative="1">
      <w:start w:val="1"/>
      <w:numFmt w:val="lowerRoman"/>
      <w:lvlText w:val="%9."/>
      <w:lvlJc w:val="right"/>
      <w:pPr>
        <w:ind w:left="6621" w:hanging="180"/>
      </w:pPr>
    </w:lvl>
  </w:abstractNum>
  <w:abstractNum w:abstractNumId="7" w15:restartNumberingAfterBreak="0">
    <w:nsid w:val="3975004F"/>
    <w:multiLevelType w:val="hybridMultilevel"/>
    <w:tmpl w:val="13E4607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8" w15:restartNumberingAfterBreak="0">
    <w:nsid w:val="3BCC4222"/>
    <w:multiLevelType w:val="multilevel"/>
    <w:tmpl w:val="C9C6278E"/>
    <w:lvl w:ilvl="0">
      <w:start w:val="2"/>
      <w:numFmt w:val="decimal"/>
      <w:lvlText w:val="%1."/>
      <w:lvlJc w:val="left"/>
      <w:pPr>
        <w:ind w:left="360" w:hanging="360"/>
      </w:pPr>
      <w:rPr>
        <w:rFonts w:eastAsia="Arial Unicode MS" w:hint="default"/>
      </w:rPr>
    </w:lvl>
    <w:lvl w:ilvl="1">
      <w:start w:val="7"/>
      <w:numFmt w:val="decimal"/>
      <w:lvlText w:val="%1.%2."/>
      <w:lvlJc w:val="left"/>
      <w:pPr>
        <w:ind w:left="720" w:hanging="360"/>
      </w:pPr>
      <w:rPr>
        <w:rFonts w:eastAsia="Arial Unicode MS" w:hint="default"/>
      </w:rPr>
    </w:lvl>
    <w:lvl w:ilvl="2">
      <w:start w:val="1"/>
      <w:numFmt w:val="decimal"/>
      <w:lvlText w:val="%1.%2.%3."/>
      <w:lvlJc w:val="left"/>
      <w:pPr>
        <w:ind w:left="1440" w:hanging="720"/>
      </w:pPr>
      <w:rPr>
        <w:rFonts w:eastAsia="Arial Unicode MS" w:hint="default"/>
      </w:rPr>
    </w:lvl>
    <w:lvl w:ilvl="3">
      <w:start w:val="1"/>
      <w:numFmt w:val="decimal"/>
      <w:lvlText w:val="%1.%2.%3.%4."/>
      <w:lvlJc w:val="left"/>
      <w:pPr>
        <w:ind w:left="1800" w:hanging="720"/>
      </w:pPr>
      <w:rPr>
        <w:rFonts w:eastAsia="Arial Unicode MS" w:hint="default"/>
      </w:rPr>
    </w:lvl>
    <w:lvl w:ilvl="4">
      <w:start w:val="1"/>
      <w:numFmt w:val="decimal"/>
      <w:lvlText w:val="%1.%2.%3.%4.%5."/>
      <w:lvlJc w:val="left"/>
      <w:pPr>
        <w:ind w:left="2520" w:hanging="1080"/>
      </w:pPr>
      <w:rPr>
        <w:rFonts w:eastAsia="Arial Unicode MS" w:hint="default"/>
      </w:rPr>
    </w:lvl>
    <w:lvl w:ilvl="5">
      <w:start w:val="1"/>
      <w:numFmt w:val="decimal"/>
      <w:lvlText w:val="%1.%2.%3.%4.%5.%6."/>
      <w:lvlJc w:val="left"/>
      <w:pPr>
        <w:ind w:left="2880" w:hanging="1080"/>
      </w:pPr>
      <w:rPr>
        <w:rFonts w:eastAsia="Arial Unicode MS" w:hint="default"/>
      </w:rPr>
    </w:lvl>
    <w:lvl w:ilvl="6">
      <w:start w:val="1"/>
      <w:numFmt w:val="decimal"/>
      <w:lvlText w:val="%1.%2.%3.%4.%5.%6.%7."/>
      <w:lvlJc w:val="left"/>
      <w:pPr>
        <w:ind w:left="3600" w:hanging="1440"/>
      </w:pPr>
      <w:rPr>
        <w:rFonts w:eastAsia="Arial Unicode MS" w:hint="default"/>
      </w:rPr>
    </w:lvl>
    <w:lvl w:ilvl="7">
      <w:start w:val="1"/>
      <w:numFmt w:val="decimal"/>
      <w:lvlText w:val="%1.%2.%3.%4.%5.%6.%7.%8."/>
      <w:lvlJc w:val="left"/>
      <w:pPr>
        <w:ind w:left="3960" w:hanging="1440"/>
      </w:pPr>
      <w:rPr>
        <w:rFonts w:eastAsia="Arial Unicode MS" w:hint="default"/>
      </w:rPr>
    </w:lvl>
    <w:lvl w:ilvl="8">
      <w:start w:val="1"/>
      <w:numFmt w:val="decimal"/>
      <w:lvlText w:val="%1.%2.%3.%4.%5.%6.%7.%8.%9."/>
      <w:lvlJc w:val="left"/>
      <w:pPr>
        <w:ind w:left="4680" w:hanging="1800"/>
      </w:pPr>
      <w:rPr>
        <w:rFonts w:eastAsia="Arial Unicode MS" w:hint="default"/>
      </w:rPr>
    </w:lvl>
  </w:abstractNum>
  <w:abstractNum w:abstractNumId="9" w15:restartNumberingAfterBreak="0">
    <w:nsid w:val="41953EAB"/>
    <w:multiLevelType w:val="hybridMultilevel"/>
    <w:tmpl w:val="D0F01B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B4435F"/>
    <w:multiLevelType w:val="hybridMultilevel"/>
    <w:tmpl w:val="C39CBFEC"/>
    <w:lvl w:ilvl="0" w:tplc="04270001">
      <w:start w:val="1"/>
      <w:numFmt w:val="bullet"/>
      <w:lvlText w:val=""/>
      <w:lvlJc w:val="left"/>
      <w:pPr>
        <w:ind w:left="1140" w:hanging="360"/>
      </w:pPr>
      <w:rPr>
        <w:rFonts w:ascii="Symbol" w:hAnsi="Symbol" w:hint="default"/>
      </w:rPr>
    </w:lvl>
    <w:lvl w:ilvl="1" w:tplc="04270003" w:tentative="1">
      <w:start w:val="1"/>
      <w:numFmt w:val="bullet"/>
      <w:lvlText w:val="o"/>
      <w:lvlJc w:val="left"/>
      <w:pPr>
        <w:ind w:left="1860" w:hanging="360"/>
      </w:pPr>
      <w:rPr>
        <w:rFonts w:ascii="Courier New" w:hAnsi="Courier New" w:cs="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cs="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cs="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11" w15:restartNumberingAfterBreak="0">
    <w:nsid w:val="509B0191"/>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9B83C1B"/>
    <w:multiLevelType w:val="multilevel"/>
    <w:tmpl w:val="5F384374"/>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13" w15:restartNumberingAfterBreak="0">
    <w:nsid w:val="5A0D73F3"/>
    <w:multiLevelType w:val="hybridMultilevel"/>
    <w:tmpl w:val="CA9A2AC8"/>
    <w:lvl w:ilvl="0" w:tplc="0427000F">
      <w:start w:val="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AB27E1E"/>
    <w:multiLevelType w:val="hybridMultilevel"/>
    <w:tmpl w:val="3D568A5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2266018"/>
    <w:multiLevelType w:val="hybridMultilevel"/>
    <w:tmpl w:val="AA9C989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729035017">
    <w:abstractNumId w:val="9"/>
  </w:num>
  <w:num w:numId="2" w16cid:durableId="985162166">
    <w:abstractNumId w:val="3"/>
  </w:num>
  <w:num w:numId="3" w16cid:durableId="480578891">
    <w:abstractNumId w:val="12"/>
  </w:num>
  <w:num w:numId="4" w16cid:durableId="442387534">
    <w:abstractNumId w:val="11"/>
  </w:num>
  <w:num w:numId="5" w16cid:durableId="823667834">
    <w:abstractNumId w:val="8"/>
  </w:num>
  <w:num w:numId="6" w16cid:durableId="417020125">
    <w:abstractNumId w:val="7"/>
  </w:num>
  <w:num w:numId="7" w16cid:durableId="1843550031">
    <w:abstractNumId w:val="5"/>
  </w:num>
  <w:num w:numId="8" w16cid:durableId="580068462">
    <w:abstractNumId w:val="15"/>
  </w:num>
  <w:num w:numId="9" w16cid:durableId="257183606">
    <w:abstractNumId w:val="0"/>
  </w:num>
  <w:num w:numId="10" w16cid:durableId="131410136">
    <w:abstractNumId w:val="13"/>
  </w:num>
  <w:num w:numId="11" w16cid:durableId="1133251921">
    <w:abstractNumId w:val="14"/>
  </w:num>
  <w:num w:numId="12" w16cid:durableId="700133012">
    <w:abstractNumId w:val="4"/>
  </w:num>
  <w:num w:numId="13" w16cid:durableId="373774129">
    <w:abstractNumId w:val="6"/>
  </w:num>
  <w:num w:numId="14" w16cid:durableId="1004668447">
    <w:abstractNumId w:val="1"/>
  </w:num>
  <w:num w:numId="15" w16cid:durableId="660350506">
    <w:abstractNumId w:val="2"/>
  </w:num>
  <w:num w:numId="16" w16cid:durableId="6502112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0E7"/>
    <w:rsid w:val="000001B0"/>
    <w:rsid w:val="00003F5B"/>
    <w:rsid w:val="000114DD"/>
    <w:rsid w:val="000136F7"/>
    <w:rsid w:val="000203E1"/>
    <w:rsid w:val="0002686C"/>
    <w:rsid w:val="00031D0E"/>
    <w:rsid w:val="000337E6"/>
    <w:rsid w:val="0003402E"/>
    <w:rsid w:val="00034EAE"/>
    <w:rsid w:val="00042924"/>
    <w:rsid w:val="000448C6"/>
    <w:rsid w:val="00052BD8"/>
    <w:rsid w:val="00053975"/>
    <w:rsid w:val="00057A2B"/>
    <w:rsid w:val="000606BE"/>
    <w:rsid w:val="000624FF"/>
    <w:rsid w:val="00063A50"/>
    <w:rsid w:val="00067D28"/>
    <w:rsid w:val="000723FF"/>
    <w:rsid w:val="000736B8"/>
    <w:rsid w:val="0008190F"/>
    <w:rsid w:val="00081D9C"/>
    <w:rsid w:val="00082907"/>
    <w:rsid w:val="0008378D"/>
    <w:rsid w:val="000908A5"/>
    <w:rsid w:val="00092805"/>
    <w:rsid w:val="000A50C9"/>
    <w:rsid w:val="000B2201"/>
    <w:rsid w:val="000B2B2C"/>
    <w:rsid w:val="000B76AD"/>
    <w:rsid w:val="000C1407"/>
    <w:rsid w:val="000C454C"/>
    <w:rsid w:val="000D5038"/>
    <w:rsid w:val="000E29D4"/>
    <w:rsid w:val="000F3540"/>
    <w:rsid w:val="00100491"/>
    <w:rsid w:val="001006D3"/>
    <w:rsid w:val="00104E2E"/>
    <w:rsid w:val="00107287"/>
    <w:rsid w:val="00117194"/>
    <w:rsid w:val="00117406"/>
    <w:rsid w:val="00121EF0"/>
    <w:rsid w:val="00124A9E"/>
    <w:rsid w:val="00130703"/>
    <w:rsid w:val="0013153F"/>
    <w:rsid w:val="001408B8"/>
    <w:rsid w:val="001466FE"/>
    <w:rsid w:val="001517E2"/>
    <w:rsid w:val="001521D9"/>
    <w:rsid w:val="001554E2"/>
    <w:rsid w:val="00164146"/>
    <w:rsid w:val="00164D64"/>
    <w:rsid w:val="0017369C"/>
    <w:rsid w:val="00175D57"/>
    <w:rsid w:val="00180C39"/>
    <w:rsid w:val="00180D96"/>
    <w:rsid w:val="00184BD3"/>
    <w:rsid w:val="001921F3"/>
    <w:rsid w:val="00196CC0"/>
    <w:rsid w:val="001A0CAA"/>
    <w:rsid w:val="001B3C5B"/>
    <w:rsid w:val="001C2FC8"/>
    <w:rsid w:val="001C6353"/>
    <w:rsid w:val="001D5B91"/>
    <w:rsid w:val="001D746F"/>
    <w:rsid w:val="001E0B2D"/>
    <w:rsid w:val="001E4BBB"/>
    <w:rsid w:val="001E6304"/>
    <w:rsid w:val="001F115E"/>
    <w:rsid w:val="0020381E"/>
    <w:rsid w:val="00213471"/>
    <w:rsid w:val="00215906"/>
    <w:rsid w:val="00241CD8"/>
    <w:rsid w:val="00244B09"/>
    <w:rsid w:val="002519CB"/>
    <w:rsid w:val="0025697F"/>
    <w:rsid w:val="00260258"/>
    <w:rsid w:val="0026588E"/>
    <w:rsid w:val="00272428"/>
    <w:rsid w:val="00272948"/>
    <w:rsid w:val="00283E59"/>
    <w:rsid w:val="00292392"/>
    <w:rsid w:val="002946C7"/>
    <w:rsid w:val="002B3CC1"/>
    <w:rsid w:val="002C0686"/>
    <w:rsid w:val="002C09E0"/>
    <w:rsid w:val="002C100E"/>
    <w:rsid w:val="002C1BB1"/>
    <w:rsid w:val="002C2786"/>
    <w:rsid w:val="002C29D1"/>
    <w:rsid w:val="002C3A10"/>
    <w:rsid w:val="002C4A90"/>
    <w:rsid w:val="002C4ED5"/>
    <w:rsid w:val="002D02EF"/>
    <w:rsid w:val="002D7A2D"/>
    <w:rsid w:val="002E0702"/>
    <w:rsid w:val="002E1A83"/>
    <w:rsid w:val="002E57AD"/>
    <w:rsid w:val="002E6F80"/>
    <w:rsid w:val="002F0E4F"/>
    <w:rsid w:val="002F1053"/>
    <w:rsid w:val="00314816"/>
    <w:rsid w:val="00317B0E"/>
    <w:rsid w:val="00321B0E"/>
    <w:rsid w:val="003313B3"/>
    <w:rsid w:val="00334F18"/>
    <w:rsid w:val="00336238"/>
    <w:rsid w:val="00347FAA"/>
    <w:rsid w:val="0035172D"/>
    <w:rsid w:val="0036187D"/>
    <w:rsid w:val="00366C3A"/>
    <w:rsid w:val="00367EDB"/>
    <w:rsid w:val="003705F0"/>
    <w:rsid w:val="00381024"/>
    <w:rsid w:val="00386307"/>
    <w:rsid w:val="003874DE"/>
    <w:rsid w:val="00393E9F"/>
    <w:rsid w:val="0039696E"/>
    <w:rsid w:val="003B211A"/>
    <w:rsid w:val="003C141F"/>
    <w:rsid w:val="003C6B0E"/>
    <w:rsid w:val="003C7257"/>
    <w:rsid w:val="003C7E35"/>
    <w:rsid w:val="003D1E99"/>
    <w:rsid w:val="003D6208"/>
    <w:rsid w:val="00404E8A"/>
    <w:rsid w:val="0040622F"/>
    <w:rsid w:val="00407699"/>
    <w:rsid w:val="00411822"/>
    <w:rsid w:val="00413F24"/>
    <w:rsid w:val="00422853"/>
    <w:rsid w:val="00423160"/>
    <w:rsid w:val="00437623"/>
    <w:rsid w:val="004445F2"/>
    <w:rsid w:val="00444A2B"/>
    <w:rsid w:val="00445D5B"/>
    <w:rsid w:val="00453862"/>
    <w:rsid w:val="0045469B"/>
    <w:rsid w:val="00461338"/>
    <w:rsid w:val="004677DB"/>
    <w:rsid w:val="00474226"/>
    <w:rsid w:val="00476256"/>
    <w:rsid w:val="004853E0"/>
    <w:rsid w:val="0048630F"/>
    <w:rsid w:val="004947A1"/>
    <w:rsid w:val="0049482A"/>
    <w:rsid w:val="00494E5A"/>
    <w:rsid w:val="004979D3"/>
    <w:rsid w:val="004A00E7"/>
    <w:rsid w:val="004A3A61"/>
    <w:rsid w:val="004A7258"/>
    <w:rsid w:val="004B59BA"/>
    <w:rsid w:val="004B5A03"/>
    <w:rsid w:val="004C263A"/>
    <w:rsid w:val="004C6221"/>
    <w:rsid w:val="004D48A6"/>
    <w:rsid w:val="004D70B6"/>
    <w:rsid w:val="004D7B8F"/>
    <w:rsid w:val="004E241F"/>
    <w:rsid w:val="004E6458"/>
    <w:rsid w:val="004E65DF"/>
    <w:rsid w:val="004E6E7D"/>
    <w:rsid w:val="004F1AAC"/>
    <w:rsid w:val="004F1AE2"/>
    <w:rsid w:val="004F34F0"/>
    <w:rsid w:val="004F3B2B"/>
    <w:rsid w:val="004F6050"/>
    <w:rsid w:val="005005EF"/>
    <w:rsid w:val="005123C2"/>
    <w:rsid w:val="0052144B"/>
    <w:rsid w:val="00524066"/>
    <w:rsid w:val="00526A0F"/>
    <w:rsid w:val="00534E11"/>
    <w:rsid w:val="005378D8"/>
    <w:rsid w:val="005400D9"/>
    <w:rsid w:val="005476A4"/>
    <w:rsid w:val="0055019B"/>
    <w:rsid w:val="00555937"/>
    <w:rsid w:val="00556874"/>
    <w:rsid w:val="00556E63"/>
    <w:rsid w:val="005601A4"/>
    <w:rsid w:val="00566DBB"/>
    <w:rsid w:val="005672DA"/>
    <w:rsid w:val="00567B14"/>
    <w:rsid w:val="005767DB"/>
    <w:rsid w:val="005815E6"/>
    <w:rsid w:val="0058526D"/>
    <w:rsid w:val="0058712F"/>
    <w:rsid w:val="005976CE"/>
    <w:rsid w:val="005A23D4"/>
    <w:rsid w:val="005A2D1E"/>
    <w:rsid w:val="005A3D05"/>
    <w:rsid w:val="005A4698"/>
    <w:rsid w:val="005B3756"/>
    <w:rsid w:val="005C493F"/>
    <w:rsid w:val="005C6BF7"/>
    <w:rsid w:val="005C71BF"/>
    <w:rsid w:val="005D002C"/>
    <w:rsid w:val="005D30E1"/>
    <w:rsid w:val="005D55A1"/>
    <w:rsid w:val="005D6555"/>
    <w:rsid w:val="005D7BDF"/>
    <w:rsid w:val="005E4870"/>
    <w:rsid w:val="005F08A7"/>
    <w:rsid w:val="005F71D9"/>
    <w:rsid w:val="005F7602"/>
    <w:rsid w:val="006062BE"/>
    <w:rsid w:val="00613143"/>
    <w:rsid w:val="00613501"/>
    <w:rsid w:val="0061611B"/>
    <w:rsid w:val="006166A8"/>
    <w:rsid w:val="006174A1"/>
    <w:rsid w:val="00621D6C"/>
    <w:rsid w:val="00633B49"/>
    <w:rsid w:val="0064297F"/>
    <w:rsid w:val="00645102"/>
    <w:rsid w:val="00646CF3"/>
    <w:rsid w:val="00653D11"/>
    <w:rsid w:val="00662983"/>
    <w:rsid w:val="006834D3"/>
    <w:rsid w:val="00692625"/>
    <w:rsid w:val="00695CD3"/>
    <w:rsid w:val="006A11AD"/>
    <w:rsid w:val="006A38B6"/>
    <w:rsid w:val="006B1987"/>
    <w:rsid w:val="006B5B71"/>
    <w:rsid w:val="006B5D3E"/>
    <w:rsid w:val="006B6CB0"/>
    <w:rsid w:val="006C2B64"/>
    <w:rsid w:val="006D1BF3"/>
    <w:rsid w:val="006D4C85"/>
    <w:rsid w:val="006D66AC"/>
    <w:rsid w:val="006E33F6"/>
    <w:rsid w:val="006F1251"/>
    <w:rsid w:val="006F1C23"/>
    <w:rsid w:val="00702C18"/>
    <w:rsid w:val="00703166"/>
    <w:rsid w:val="007111C4"/>
    <w:rsid w:val="007127F3"/>
    <w:rsid w:val="007301CF"/>
    <w:rsid w:val="007316FB"/>
    <w:rsid w:val="0073440F"/>
    <w:rsid w:val="00737E2D"/>
    <w:rsid w:val="007424D5"/>
    <w:rsid w:val="00745C63"/>
    <w:rsid w:val="00750A88"/>
    <w:rsid w:val="007523DD"/>
    <w:rsid w:val="00757B7E"/>
    <w:rsid w:val="007656B2"/>
    <w:rsid w:val="0077016F"/>
    <w:rsid w:val="007713AD"/>
    <w:rsid w:val="00795DC5"/>
    <w:rsid w:val="00797153"/>
    <w:rsid w:val="007A21F7"/>
    <w:rsid w:val="007A2B68"/>
    <w:rsid w:val="007B0DDA"/>
    <w:rsid w:val="007D3347"/>
    <w:rsid w:val="007D5050"/>
    <w:rsid w:val="007D654E"/>
    <w:rsid w:val="007E5466"/>
    <w:rsid w:val="007F1949"/>
    <w:rsid w:val="007F2592"/>
    <w:rsid w:val="00800A08"/>
    <w:rsid w:val="00817A84"/>
    <w:rsid w:val="008225A4"/>
    <w:rsid w:val="00824B92"/>
    <w:rsid w:val="00826D5E"/>
    <w:rsid w:val="00832013"/>
    <w:rsid w:val="00832DB7"/>
    <w:rsid w:val="00834732"/>
    <w:rsid w:val="0085200C"/>
    <w:rsid w:val="00853487"/>
    <w:rsid w:val="00857C52"/>
    <w:rsid w:val="00860D5F"/>
    <w:rsid w:val="00880A44"/>
    <w:rsid w:val="0088345E"/>
    <w:rsid w:val="0088656F"/>
    <w:rsid w:val="008875BC"/>
    <w:rsid w:val="00891EF6"/>
    <w:rsid w:val="00892FF4"/>
    <w:rsid w:val="0089345A"/>
    <w:rsid w:val="008A0303"/>
    <w:rsid w:val="008A160D"/>
    <w:rsid w:val="008A5FDD"/>
    <w:rsid w:val="008C3947"/>
    <w:rsid w:val="008C5397"/>
    <w:rsid w:val="008E473B"/>
    <w:rsid w:val="008E51A6"/>
    <w:rsid w:val="008E7329"/>
    <w:rsid w:val="008F2ED5"/>
    <w:rsid w:val="0092297E"/>
    <w:rsid w:val="00923292"/>
    <w:rsid w:val="00923651"/>
    <w:rsid w:val="00924DF7"/>
    <w:rsid w:val="00927B56"/>
    <w:rsid w:val="009341BF"/>
    <w:rsid w:val="00937907"/>
    <w:rsid w:val="00941739"/>
    <w:rsid w:val="00951573"/>
    <w:rsid w:val="00952404"/>
    <w:rsid w:val="00963003"/>
    <w:rsid w:val="00965919"/>
    <w:rsid w:val="00966EEF"/>
    <w:rsid w:val="00971B28"/>
    <w:rsid w:val="00983471"/>
    <w:rsid w:val="009909AB"/>
    <w:rsid w:val="009A17AE"/>
    <w:rsid w:val="009A2522"/>
    <w:rsid w:val="009B37DB"/>
    <w:rsid w:val="009C7A8C"/>
    <w:rsid w:val="009D1F01"/>
    <w:rsid w:val="009D23F9"/>
    <w:rsid w:val="009D4FA8"/>
    <w:rsid w:val="009E44AE"/>
    <w:rsid w:val="009E6CD6"/>
    <w:rsid w:val="009F4D66"/>
    <w:rsid w:val="00A00C3C"/>
    <w:rsid w:val="00A01091"/>
    <w:rsid w:val="00A042B9"/>
    <w:rsid w:val="00A06DBB"/>
    <w:rsid w:val="00A22ADF"/>
    <w:rsid w:val="00A2310D"/>
    <w:rsid w:val="00A254A2"/>
    <w:rsid w:val="00A31E86"/>
    <w:rsid w:val="00A37D4A"/>
    <w:rsid w:val="00A54D87"/>
    <w:rsid w:val="00A55199"/>
    <w:rsid w:val="00A5553C"/>
    <w:rsid w:val="00A701C9"/>
    <w:rsid w:val="00A81785"/>
    <w:rsid w:val="00A8292C"/>
    <w:rsid w:val="00A84803"/>
    <w:rsid w:val="00A84C51"/>
    <w:rsid w:val="00A86F2B"/>
    <w:rsid w:val="00A91366"/>
    <w:rsid w:val="00A92F91"/>
    <w:rsid w:val="00A93AA6"/>
    <w:rsid w:val="00AA4E48"/>
    <w:rsid w:val="00AA5F06"/>
    <w:rsid w:val="00AA6202"/>
    <w:rsid w:val="00AA7B57"/>
    <w:rsid w:val="00AB2806"/>
    <w:rsid w:val="00AB2939"/>
    <w:rsid w:val="00AB2D54"/>
    <w:rsid w:val="00AC26FC"/>
    <w:rsid w:val="00AC4A99"/>
    <w:rsid w:val="00AC5129"/>
    <w:rsid w:val="00AC64D2"/>
    <w:rsid w:val="00AD02E7"/>
    <w:rsid w:val="00AE0FE8"/>
    <w:rsid w:val="00AF60D5"/>
    <w:rsid w:val="00B00959"/>
    <w:rsid w:val="00B04415"/>
    <w:rsid w:val="00B06509"/>
    <w:rsid w:val="00B11D60"/>
    <w:rsid w:val="00B13D65"/>
    <w:rsid w:val="00B21805"/>
    <w:rsid w:val="00B3072E"/>
    <w:rsid w:val="00B36E15"/>
    <w:rsid w:val="00B37245"/>
    <w:rsid w:val="00B4017A"/>
    <w:rsid w:val="00B4468D"/>
    <w:rsid w:val="00B71C72"/>
    <w:rsid w:val="00B71F04"/>
    <w:rsid w:val="00B74A62"/>
    <w:rsid w:val="00B811A4"/>
    <w:rsid w:val="00B81E92"/>
    <w:rsid w:val="00B908D7"/>
    <w:rsid w:val="00B935E8"/>
    <w:rsid w:val="00B93B30"/>
    <w:rsid w:val="00B94CB5"/>
    <w:rsid w:val="00BA0DD9"/>
    <w:rsid w:val="00BA5DBC"/>
    <w:rsid w:val="00BA6584"/>
    <w:rsid w:val="00BB6312"/>
    <w:rsid w:val="00BC39C2"/>
    <w:rsid w:val="00BC4D06"/>
    <w:rsid w:val="00BD05E1"/>
    <w:rsid w:val="00BD585E"/>
    <w:rsid w:val="00BD6919"/>
    <w:rsid w:val="00BE1EA7"/>
    <w:rsid w:val="00BE7489"/>
    <w:rsid w:val="00BF2E0D"/>
    <w:rsid w:val="00BF3927"/>
    <w:rsid w:val="00BF3F8B"/>
    <w:rsid w:val="00BF76DA"/>
    <w:rsid w:val="00C00CDB"/>
    <w:rsid w:val="00C07C7B"/>
    <w:rsid w:val="00C1141C"/>
    <w:rsid w:val="00C16245"/>
    <w:rsid w:val="00C22DC5"/>
    <w:rsid w:val="00C24479"/>
    <w:rsid w:val="00C273F2"/>
    <w:rsid w:val="00C37B53"/>
    <w:rsid w:val="00C434EB"/>
    <w:rsid w:val="00C517D2"/>
    <w:rsid w:val="00C5772E"/>
    <w:rsid w:val="00C62B36"/>
    <w:rsid w:val="00C7012C"/>
    <w:rsid w:val="00C712EA"/>
    <w:rsid w:val="00C9728E"/>
    <w:rsid w:val="00CA217D"/>
    <w:rsid w:val="00CA3131"/>
    <w:rsid w:val="00CB1930"/>
    <w:rsid w:val="00CB7CFC"/>
    <w:rsid w:val="00CC09D4"/>
    <w:rsid w:val="00CC4F5F"/>
    <w:rsid w:val="00CC668D"/>
    <w:rsid w:val="00CC7832"/>
    <w:rsid w:val="00CD3844"/>
    <w:rsid w:val="00CD488E"/>
    <w:rsid w:val="00CE395C"/>
    <w:rsid w:val="00CE4B0B"/>
    <w:rsid w:val="00CF0C1C"/>
    <w:rsid w:val="00CF18BC"/>
    <w:rsid w:val="00CF27FD"/>
    <w:rsid w:val="00CF5F12"/>
    <w:rsid w:val="00D00D8F"/>
    <w:rsid w:val="00D12869"/>
    <w:rsid w:val="00D14512"/>
    <w:rsid w:val="00D15ED6"/>
    <w:rsid w:val="00D21F3A"/>
    <w:rsid w:val="00D23808"/>
    <w:rsid w:val="00D3016A"/>
    <w:rsid w:val="00D32DCD"/>
    <w:rsid w:val="00D417D2"/>
    <w:rsid w:val="00D42960"/>
    <w:rsid w:val="00D42AD9"/>
    <w:rsid w:val="00D43BD7"/>
    <w:rsid w:val="00D4485B"/>
    <w:rsid w:val="00D46CCD"/>
    <w:rsid w:val="00D4708D"/>
    <w:rsid w:val="00D4744C"/>
    <w:rsid w:val="00D51046"/>
    <w:rsid w:val="00D521DE"/>
    <w:rsid w:val="00D53667"/>
    <w:rsid w:val="00D5470B"/>
    <w:rsid w:val="00D63068"/>
    <w:rsid w:val="00D6498C"/>
    <w:rsid w:val="00D67BAF"/>
    <w:rsid w:val="00D76A70"/>
    <w:rsid w:val="00D83182"/>
    <w:rsid w:val="00D8521E"/>
    <w:rsid w:val="00D91B12"/>
    <w:rsid w:val="00D9291C"/>
    <w:rsid w:val="00D93A97"/>
    <w:rsid w:val="00DA5602"/>
    <w:rsid w:val="00DB1F64"/>
    <w:rsid w:val="00DC261A"/>
    <w:rsid w:val="00DC2F53"/>
    <w:rsid w:val="00DC5BAC"/>
    <w:rsid w:val="00DC6816"/>
    <w:rsid w:val="00DC76C2"/>
    <w:rsid w:val="00DD1CF2"/>
    <w:rsid w:val="00DE4484"/>
    <w:rsid w:val="00DE5E8C"/>
    <w:rsid w:val="00DF41B7"/>
    <w:rsid w:val="00DF4A4A"/>
    <w:rsid w:val="00DF583C"/>
    <w:rsid w:val="00E03C3F"/>
    <w:rsid w:val="00E06FD7"/>
    <w:rsid w:val="00E07417"/>
    <w:rsid w:val="00E24D45"/>
    <w:rsid w:val="00E33DB8"/>
    <w:rsid w:val="00E33EFF"/>
    <w:rsid w:val="00E34387"/>
    <w:rsid w:val="00E348BA"/>
    <w:rsid w:val="00E369FE"/>
    <w:rsid w:val="00E37C6F"/>
    <w:rsid w:val="00E475F8"/>
    <w:rsid w:val="00E5102E"/>
    <w:rsid w:val="00E5721C"/>
    <w:rsid w:val="00E619C6"/>
    <w:rsid w:val="00E70CED"/>
    <w:rsid w:val="00E71C23"/>
    <w:rsid w:val="00E7328C"/>
    <w:rsid w:val="00E745A1"/>
    <w:rsid w:val="00E81529"/>
    <w:rsid w:val="00E83A13"/>
    <w:rsid w:val="00EB1151"/>
    <w:rsid w:val="00EB6FC5"/>
    <w:rsid w:val="00EC2356"/>
    <w:rsid w:val="00EC2582"/>
    <w:rsid w:val="00EC337C"/>
    <w:rsid w:val="00ED0CFF"/>
    <w:rsid w:val="00ED31D2"/>
    <w:rsid w:val="00EE0EAC"/>
    <w:rsid w:val="00EE3322"/>
    <w:rsid w:val="00EE33CB"/>
    <w:rsid w:val="00EF0887"/>
    <w:rsid w:val="00EF13E9"/>
    <w:rsid w:val="00F0061A"/>
    <w:rsid w:val="00F02834"/>
    <w:rsid w:val="00F04EEB"/>
    <w:rsid w:val="00F05467"/>
    <w:rsid w:val="00F055D2"/>
    <w:rsid w:val="00F07CD7"/>
    <w:rsid w:val="00F127E9"/>
    <w:rsid w:val="00F14477"/>
    <w:rsid w:val="00F14B5D"/>
    <w:rsid w:val="00F259FC"/>
    <w:rsid w:val="00F313F4"/>
    <w:rsid w:val="00F36972"/>
    <w:rsid w:val="00F42426"/>
    <w:rsid w:val="00F44F01"/>
    <w:rsid w:val="00F456BC"/>
    <w:rsid w:val="00F50666"/>
    <w:rsid w:val="00F70731"/>
    <w:rsid w:val="00F70C9E"/>
    <w:rsid w:val="00F74A74"/>
    <w:rsid w:val="00F74E3B"/>
    <w:rsid w:val="00F7572C"/>
    <w:rsid w:val="00F8382C"/>
    <w:rsid w:val="00F855D7"/>
    <w:rsid w:val="00F92035"/>
    <w:rsid w:val="00F921E3"/>
    <w:rsid w:val="00F92748"/>
    <w:rsid w:val="00FA4169"/>
    <w:rsid w:val="00FB0D41"/>
    <w:rsid w:val="00FB2030"/>
    <w:rsid w:val="00FC6E06"/>
    <w:rsid w:val="00FD0E46"/>
    <w:rsid w:val="00FD1060"/>
    <w:rsid w:val="00FD1CF2"/>
    <w:rsid w:val="00FD2BE4"/>
    <w:rsid w:val="00FD3EDF"/>
    <w:rsid w:val="00FD793C"/>
    <w:rsid w:val="00FE03BC"/>
    <w:rsid w:val="00FE0FD5"/>
    <w:rsid w:val="00FE20E6"/>
    <w:rsid w:val="00FE3E3B"/>
    <w:rsid w:val="00FE5878"/>
    <w:rsid w:val="00FF4032"/>
    <w:rsid w:val="00FF4A2E"/>
    <w:rsid w:val="00FF6469"/>
    <w:rsid w:val="00FF7E4A"/>
  </w:rsids>
  <m:mathPr>
    <m:mathFont m:val="Cambria Math"/>
    <m:brkBin m:val="before"/>
    <m:brkBinSub m:val="--"/>
    <m:smallFrac m:val="0"/>
    <m:dispDef/>
    <m:lMargin m:val="0"/>
    <m:rMargin m:val="0"/>
    <m:defJc m:val="centerGroup"/>
    <m:wrapIndent m:val="1440"/>
    <m:intLim m:val="subSup"/>
    <m:naryLim m:val="undOvr"/>
  </m:mathPr>
  <w:themeFontLang w:val="lt-L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FE6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81529"/>
    <w:rPr>
      <w:sz w:val="24"/>
      <w:szCs w:val="24"/>
      <w:lang w:eastAsia="en-US"/>
    </w:rPr>
  </w:style>
  <w:style w:type="paragraph" w:styleId="Antrat1">
    <w:name w:val="heading 1"/>
    <w:basedOn w:val="prastasis"/>
    <w:next w:val="prastasis"/>
    <w:qFormat/>
    <w:rsid w:val="00A84C51"/>
    <w:pPr>
      <w:keepNext/>
      <w:jc w:val="center"/>
      <w:outlineLvl w:val="0"/>
    </w:pPr>
    <w:rPr>
      <w:b/>
      <w:bCs/>
      <w:caps/>
    </w:rPr>
  </w:style>
  <w:style w:type="paragraph" w:styleId="Antrat2">
    <w:name w:val="heading 2"/>
    <w:basedOn w:val="prastasis"/>
    <w:next w:val="prastasis"/>
    <w:qFormat/>
    <w:rsid w:val="00A84C51"/>
    <w:pPr>
      <w:keepNext/>
      <w:jc w:val="center"/>
      <w:outlineLvl w:val="1"/>
    </w:pPr>
    <w:rPr>
      <w:b/>
      <w:bCs/>
      <w:caps/>
      <w:sz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A84C51"/>
    <w:pPr>
      <w:tabs>
        <w:tab w:val="center" w:pos="4986"/>
        <w:tab w:val="right" w:pos="9972"/>
      </w:tabs>
    </w:pPr>
  </w:style>
  <w:style w:type="paragraph" w:styleId="Porat">
    <w:name w:val="footer"/>
    <w:basedOn w:val="prastasis"/>
    <w:link w:val="PoratDiagrama"/>
    <w:rsid w:val="00A84C51"/>
    <w:pPr>
      <w:tabs>
        <w:tab w:val="center" w:pos="4986"/>
        <w:tab w:val="right" w:pos="9972"/>
      </w:tabs>
    </w:pPr>
  </w:style>
  <w:style w:type="character" w:styleId="Puslapionumeris">
    <w:name w:val="page number"/>
    <w:basedOn w:val="Numatytasispastraiposriftas"/>
    <w:rsid w:val="00A84C51"/>
  </w:style>
  <w:style w:type="character" w:styleId="Hipersaitas">
    <w:name w:val="Hyperlink"/>
    <w:basedOn w:val="Numatytasispastraiposriftas"/>
    <w:rsid w:val="00A84C51"/>
    <w:rPr>
      <w:color w:val="0000FF"/>
      <w:u w:val="single"/>
    </w:rPr>
  </w:style>
  <w:style w:type="paragraph" w:styleId="Debesliotekstas">
    <w:name w:val="Balloon Text"/>
    <w:basedOn w:val="prastasis"/>
    <w:semiHidden/>
    <w:rsid w:val="00EC2356"/>
    <w:rPr>
      <w:rFonts w:ascii="Tahoma" w:hAnsi="Tahoma" w:cs="Tahoma"/>
      <w:sz w:val="16"/>
      <w:szCs w:val="16"/>
    </w:rPr>
  </w:style>
  <w:style w:type="character" w:customStyle="1" w:styleId="PoratDiagrama">
    <w:name w:val="Poraštė Diagrama"/>
    <w:basedOn w:val="Numatytasispastraiposriftas"/>
    <w:link w:val="Porat"/>
    <w:rsid w:val="00737E2D"/>
    <w:rPr>
      <w:sz w:val="24"/>
      <w:szCs w:val="24"/>
      <w:lang w:eastAsia="en-US"/>
    </w:rPr>
  </w:style>
  <w:style w:type="character" w:customStyle="1" w:styleId="Neapdorotaspaminjimas1">
    <w:name w:val="Neapdorotas paminėjimas1"/>
    <w:basedOn w:val="Numatytasispastraiposriftas"/>
    <w:uiPriority w:val="99"/>
    <w:semiHidden/>
    <w:unhideWhenUsed/>
    <w:rsid w:val="00A31E86"/>
    <w:rPr>
      <w:color w:val="605E5C"/>
      <w:shd w:val="clear" w:color="auto" w:fill="E1DFDD"/>
    </w:rPr>
  </w:style>
  <w:style w:type="character" w:styleId="Perirtashipersaitas">
    <w:name w:val="FollowedHyperlink"/>
    <w:basedOn w:val="Numatytasispastraiposriftas"/>
    <w:semiHidden/>
    <w:unhideWhenUsed/>
    <w:rsid w:val="00A31E86"/>
    <w:rPr>
      <w:color w:val="800080" w:themeColor="followedHyperlink"/>
      <w:u w:val="single"/>
    </w:rPr>
  </w:style>
  <w:style w:type="table" w:styleId="Lentelstinklelis">
    <w:name w:val="Table Grid"/>
    <w:basedOn w:val="prastojilentel"/>
    <w:rsid w:val="00D42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semiHidden/>
    <w:unhideWhenUsed/>
    <w:rsid w:val="00C7012C"/>
    <w:rPr>
      <w:sz w:val="16"/>
      <w:szCs w:val="16"/>
    </w:rPr>
  </w:style>
  <w:style w:type="paragraph" w:styleId="Komentarotekstas">
    <w:name w:val="annotation text"/>
    <w:basedOn w:val="prastasis"/>
    <w:link w:val="KomentarotekstasDiagrama"/>
    <w:unhideWhenUsed/>
    <w:rsid w:val="00C7012C"/>
    <w:rPr>
      <w:sz w:val="20"/>
      <w:szCs w:val="20"/>
    </w:rPr>
  </w:style>
  <w:style w:type="character" w:customStyle="1" w:styleId="KomentarotekstasDiagrama">
    <w:name w:val="Komentaro tekstas Diagrama"/>
    <w:basedOn w:val="Numatytasispastraiposriftas"/>
    <w:link w:val="Komentarotekstas"/>
    <w:rsid w:val="00C7012C"/>
    <w:rPr>
      <w:lang w:eastAsia="en-US"/>
    </w:rPr>
  </w:style>
  <w:style w:type="paragraph" w:styleId="Komentarotema">
    <w:name w:val="annotation subject"/>
    <w:basedOn w:val="Komentarotekstas"/>
    <w:next w:val="Komentarotekstas"/>
    <w:link w:val="KomentarotemaDiagrama"/>
    <w:semiHidden/>
    <w:unhideWhenUsed/>
    <w:rsid w:val="00C7012C"/>
    <w:rPr>
      <w:b/>
      <w:bCs/>
    </w:rPr>
  </w:style>
  <w:style w:type="character" w:customStyle="1" w:styleId="KomentarotemaDiagrama">
    <w:name w:val="Komentaro tema Diagrama"/>
    <w:basedOn w:val="KomentarotekstasDiagrama"/>
    <w:link w:val="Komentarotema"/>
    <w:semiHidden/>
    <w:rsid w:val="00C7012C"/>
    <w:rPr>
      <w:b/>
      <w:bCs/>
      <w:lang w:eastAsia="en-US"/>
    </w:rPr>
  </w:style>
  <w:style w:type="paragraph" w:styleId="Sraopastraipa">
    <w:name w:val="List Paragraph"/>
    <w:basedOn w:val="prastasis"/>
    <w:uiPriority w:val="34"/>
    <w:qFormat/>
    <w:rsid w:val="00104E2E"/>
    <w:pPr>
      <w:ind w:left="720"/>
      <w:contextualSpacing/>
    </w:pPr>
  </w:style>
  <w:style w:type="character" w:customStyle="1" w:styleId="Style2">
    <w:name w:val="Style2"/>
    <w:basedOn w:val="Numatytasispastraiposriftas"/>
    <w:uiPriority w:val="1"/>
    <w:rsid w:val="00D6498C"/>
    <w:rPr>
      <w:sz w:val="32"/>
    </w:rPr>
  </w:style>
  <w:style w:type="character" w:styleId="Vietosrezervavimoenklotekstas">
    <w:name w:val="Placeholder Text"/>
    <w:basedOn w:val="Numatytasispastraiposriftas"/>
    <w:uiPriority w:val="99"/>
    <w:rsid w:val="00B13D65"/>
    <w:rPr>
      <w:color w:val="808080"/>
    </w:rPr>
  </w:style>
  <w:style w:type="paragraph" w:styleId="Betarp">
    <w:name w:val="No Spacing"/>
    <w:uiPriority w:val="1"/>
    <w:qFormat/>
    <w:rsid w:val="00B13D65"/>
    <w:rPr>
      <w:rFonts w:ascii="Calibri" w:eastAsia="Calibri" w:hAnsi="Calibri"/>
      <w:sz w:val="22"/>
      <w:szCs w:val="22"/>
      <w:lang w:eastAsia="en-US"/>
    </w:rPr>
  </w:style>
  <w:style w:type="table" w:customStyle="1" w:styleId="Lentelstinklelis1">
    <w:name w:val="Lentelės tinklelis1"/>
    <w:basedOn w:val="prastojilentel"/>
    <w:next w:val="Lentelstinklelis"/>
    <w:rsid w:val="009E44AE"/>
    <w:rPr>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taisymai">
    <w:name w:val="Revision"/>
    <w:hidden/>
    <w:uiPriority w:val="99"/>
    <w:semiHidden/>
    <w:rsid w:val="00476256"/>
    <w:rPr>
      <w:sz w:val="24"/>
      <w:szCs w:val="24"/>
      <w:lang w:eastAsia="en-US"/>
    </w:rPr>
  </w:style>
  <w:style w:type="paragraph" w:styleId="Pagrindinistekstas">
    <w:name w:val="Body Text"/>
    <w:aliases w:val="Body Text Char Char,Body Text Char1 Char Char,Body Text Char Char Char Char,Body Text Char1 Char Char Char Char,Body Text Char Char Char Char Char Char,Body Text Char1 Char Char Char Char Char Char,GS"/>
    <w:basedOn w:val="prastasis"/>
    <w:link w:val="PagrindinistekstasDiagrama"/>
    <w:qFormat/>
    <w:rsid w:val="00E71C23"/>
    <w:pPr>
      <w:spacing w:line="480" w:lineRule="auto"/>
      <w:ind w:firstLine="720"/>
    </w:pPr>
    <w:rPr>
      <w:bCs/>
      <w:kern w:val="32"/>
      <w:szCs w:val="20"/>
      <w:lang w:val="en-US"/>
    </w:rPr>
  </w:style>
  <w:style w:type="character" w:customStyle="1" w:styleId="PagrindinistekstasDiagrama">
    <w:name w:val="Pagrindinis tekstas Diagrama"/>
    <w:aliases w:val="Body Text Char Char Diagrama,Body Text Char1 Char Char Diagrama,Body Text Char Char Char Char Diagrama,Body Text Char1 Char Char Char Char Diagrama,Body Text Char Char Char Char Char Char Diagrama,GS Diagrama"/>
    <w:basedOn w:val="Numatytasispastraiposriftas"/>
    <w:link w:val="Pagrindinistekstas"/>
    <w:rsid w:val="00E71C23"/>
    <w:rPr>
      <w:bCs/>
      <w:kern w:val="32"/>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8802146">
      <w:bodyDiv w:val="1"/>
      <w:marLeft w:val="0"/>
      <w:marRight w:val="0"/>
      <w:marTop w:val="0"/>
      <w:marBottom w:val="0"/>
      <w:divBdr>
        <w:top w:val="none" w:sz="0" w:space="0" w:color="auto"/>
        <w:left w:val="none" w:sz="0" w:space="0" w:color="auto"/>
        <w:bottom w:val="none" w:sz="0" w:space="0" w:color="auto"/>
        <w:right w:val="none" w:sz="0" w:space="0" w:color="auto"/>
      </w:divBdr>
    </w:div>
    <w:div w:id="1597787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3D7EBE30A7F432F9AB1114CDC0B27A0"/>
        <w:category>
          <w:name w:val="Bendrosios nuostatos"/>
          <w:gallery w:val="placeholder"/>
        </w:category>
        <w:types>
          <w:type w:val="bbPlcHdr"/>
        </w:types>
        <w:behaviors>
          <w:behavior w:val="content"/>
        </w:behaviors>
        <w:guid w:val="{17F62492-AACD-4837-966A-2DF1151E6A27}"/>
      </w:docPartPr>
      <w:docPartBody>
        <w:p w:rsidR="00A20D39" w:rsidRDefault="00C66578" w:rsidP="00C66578">
          <w:pPr>
            <w:pStyle w:val="93D7EBE30A7F432F9AB1114CDC0B27A0"/>
          </w:pPr>
          <w:r>
            <w:rPr>
              <w:rStyle w:val="Vietosrezervavimoenklotekstas"/>
            </w:rPr>
            <w:t>Click here to enter a date.</w:t>
          </w:r>
        </w:p>
      </w:docPartBody>
    </w:docPart>
    <w:docPart>
      <w:docPartPr>
        <w:name w:val="313EC56AA2FD440FAB92ED675BD36BA0"/>
        <w:category>
          <w:name w:val="Bendrosios nuostatos"/>
          <w:gallery w:val="placeholder"/>
        </w:category>
        <w:types>
          <w:type w:val="bbPlcHdr"/>
        </w:types>
        <w:behaviors>
          <w:behavior w:val="content"/>
        </w:behaviors>
        <w:guid w:val="{930DD3CB-97DE-4BCB-96BE-0677BB5CE856}"/>
      </w:docPartPr>
      <w:docPartBody>
        <w:p w:rsidR="00A20D39" w:rsidRDefault="00C66578" w:rsidP="00C66578">
          <w:pPr>
            <w:pStyle w:val="313EC56AA2FD440FAB92ED675BD36BA0"/>
          </w:pPr>
          <w:r>
            <w:rPr>
              <w:rStyle w:val="Vietosrezervavimoenklotekstas"/>
            </w:rPr>
            <w:t>Click here to enter a date.</w:t>
          </w:r>
        </w:p>
      </w:docPartBody>
    </w:docPart>
    <w:docPart>
      <w:docPartPr>
        <w:name w:val="7F5300591C4A497AB508201A2BDF9D74"/>
        <w:category>
          <w:name w:val="General"/>
          <w:gallery w:val="placeholder"/>
        </w:category>
        <w:types>
          <w:type w:val="bbPlcHdr"/>
        </w:types>
        <w:behaviors>
          <w:behavior w:val="content"/>
        </w:behaviors>
        <w:guid w:val="{E077C84E-0C50-4958-AD36-4FDA6C865F7B}"/>
      </w:docPartPr>
      <w:docPartBody>
        <w:p w:rsidR="00051F9D" w:rsidRDefault="00686AF8" w:rsidP="00686AF8">
          <w:pPr>
            <w:pStyle w:val="7F5300591C4A497AB508201A2BDF9D74"/>
          </w:pPr>
          <w:r>
            <w:rPr>
              <w:rStyle w:val="Vietosrezervavimoenklotekstas"/>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0DD"/>
    <w:rsid w:val="0001247F"/>
    <w:rsid w:val="00047C19"/>
    <w:rsid w:val="00051F9D"/>
    <w:rsid w:val="00061157"/>
    <w:rsid w:val="000624FF"/>
    <w:rsid w:val="00077642"/>
    <w:rsid w:val="000937FE"/>
    <w:rsid w:val="000A50C9"/>
    <w:rsid w:val="000A559A"/>
    <w:rsid w:val="000C1407"/>
    <w:rsid w:val="000D24D4"/>
    <w:rsid w:val="000D6217"/>
    <w:rsid w:val="0014006D"/>
    <w:rsid w:val="00196CC0"/>
    <w:rsid w:val="001A5464"/>
    <w:rsid w:val="001C35A9"/>
    <w:rsid w:val="002047CD"/>
    <w:rsid w:val="00237556"/>
    <w:rsid w:val="002546AB"/>
    <w:rsid w:val="002C0686"/>
    <w:rsid w:val="00307434"/>
    <w:rsid w:val="0039303B"/>
    <w:rsid w:val="00407699"/>
    <w:rsid w:val="00411822"/>
    <w:rsid w:val="004144A3"/>
    <w:rsid w:val="004160E7"/>
    <w:rsid w:val="004416C6"/>
    <w:rsid w:val="00456612"/>
    <w:rsid w:val="00456E96"/>
    <w:rsid w:val="004C6221"/>
    <w:rsid w:val="004D038D"/>
    <w:rsid w:val="004F4E20"/>
    <w:rsid w:val="004F5AB2"/>
    <w:rsid w:val="005074B9"/>
    <w:rsid w:val="00563A5F"/>
    <w:rsid w:val="005C62E5"/>
    <w:rsid w:val="005E40DD"/>
    <w:rsid w:val="005F08A7"/>
    <w:rsid w:val="00601F4E"/>
    <w:rsid w:val="00686AF8"/>
    <w:rsid w:val="006906AF"/>
    <w:rsid w:val="006A11AD"/>
    <w:rsid w:val="006E6A2C"/>
    <w:rsid w:val="007219C1"/>
    <w:rsid w:val="00745C63"/>
    <w:rsid w:val="00753462"/>
    <w:rsid w:val="00772325"/>
    <w:rsid w:val="007A2FE0"/>
    <w:rsid w:val="007C6D1D"/>
    <w:rsid w:val="007D654E"/>
    <w:rsid w:val="00853487"/>
    <w:rsid w:val="00892FF4"/>
    <w:rsid w:val="008C0DC0"/>
    <w:rsid w:val="0090074D"/>
    <w:rsid w:val="009019EA"/>
    <w:rsid w:val="00901A35"/>
    <w:rsid w:val="009B3BF0"/>
    <w:rsid w:val="009D5E5E"/>
    <w:rsid w:val="009F1BB4"/>
    <w:rsid w:val="00A20D39"/>
    <w:rsid w:val="00A254A2"/>
    <w:rsid w:val="00A37D4A"/>
    <w:rsid w:val="00AB2D54"/>
    <w:rsid w:val="00AB6ED4"/>
    <w:rsid w:val="00B14210"/>
    <w:rsid w:val="00B22ED6"/>
    <w:rsid w:val="00B23DC0"/>
    <w:rsid w:val="00B71F04"/>
    <w:rsid w:val="00B96656"/>
    <w:rsid w:val="00BA0A8E"/>
    <w:rsid w:val="00BE3364"/>
    <w:rsid w:val="00C21558"/>
    <w:rsid w:val="00C2401D"/>
    <w:rsid w:val="00C250D7"/>
    <w:rsid w:val="00C53A68"/>
    <w:rsid w:val="00C611CE"/>
    <w:rsid w:val="00C66578"/>
    <w:rsid w:val="00CA5BB4"/>
    <w:rsid w:val="00CB1930"/>
    <w:rsid w:val="00CB4BD1"/>
    <w:rsid w:val="00CB7CFC"/>
    <w:rsid w:val="00CD139C"/>
    <w:rsid w:val="00CD3844"/>
    <w:rsid w:val="00CE2DA9"/>
    <w:rsid w:val="00CE44BE"/>
    <w:rsid w:val="00D008F3"/>
    <w:rsid w:val="00D0142D"/>
    <w:rsid w:val="00D04DFF"/>
    <w:rsid w:val="00D15ED6"/>
    <w:rsid w:val="00D20347"/>
    <w:rsid w:val="00D4356B"/>
    <w:rsid w:val="00D7162F"/>
    <w:rsid w:val="00DA599C"/>
    <w:rsid w:val="00DB4DB5"/>
    <w:rsid w:val="00DE4D10"/>
    <w:rsid w:val="00DF6FD5"/>
    <w:rsid w:val="00E44A86"/>
    <w:rsid w:val="00E522EB"/>
    <w:rsid w:val="00E60827"/>
    <w:rsid w:val="00E66289"/>
    <w:rsid w:val="00EF6E0C"/>
    <w:rsid w:val="00F14477"/>
    <w:rsid w:val="00F370E5"/>
    <w:rsid w:val="00F55028"/>
    <w:rsid w:val="00F677F0"/>
    <w:rsid w:val="00F77BEF"/>
    <w:rsid w:val="00FC755C"/>
    <w:rsid w:val="00FE0D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rsid w:val="00686AF8"/>
    <w:rPr>
      <w:color w:val="808080"/>
    </w:rPr>
  </w:style>
  <w:style w:type="paragraph" w:customStyle="1" w:styleId="93D7EBE30A7F432F9AB1114CDC0B27A0">
    <w:name w:val="93D7EBE30A7F432F9AB1114CDC0B27A0"/>
    <w:rsid w:val="00C66578"/>
    <w:pPr>
      <w:spacing w:line="278" w:lineRule="auto"/>
    </w:pPr>
    <w:rPr>
      <w:kern w:val="2"/>
      <w:sz w:val="24"/>
      <w:szCs w:val="24"/>
      <w14:ligatures w14:val="standardContextual"/>
    </w:rPr>
  </w:style>
  <w:style w:type="paragraph" w:customStyle="1" w:styleId="313EC56AA2FD440FAB92ED675BD36BA0">
    <w:name w:val="313EC56AA2FD440FAB92ED675BD36BA0"/>
    <w:rsid w:val="00C66578"/>
    <w:pPr>
      <w:spacing w:line="278" w:lineRule="auto"/>
    </w:pPr>
    <w:rPr>
      <w:kern w:val="2"/>
      <w:sz w:val="24"/>
      <w:szCs w:val="24"/>
      <w14:ligatures w14:val="standardContextual"/>
    </w:rPr>
  </w:style>
  <w:style w:type="paragraph" w:customStyle="1" w:styleId="7F5300591C4A497AB508201A2BDF9D74">
    <w:name w:val="7F5300591C4A497AB508201A2BDF9D74"/>
    <w:rsid w:val="00686AF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14636</Words>
  <Characters>8344</Characters>
  <Application>Microsoft Office Word</Application>
  <DocSecurity>0</DocSecurity>
  <Lines>69</Lines>
  <Paragraphs>45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22935</CharactersWithSpaces>
  <SharedDoc>false</SharedDoc>
  <HLinks>
    <vt:vector size="6" baseType="variant">
      <vt:variant>
        <vt:i4>5308539</vt:i4>
      </vt:variant>
      <vt:variant>
        <vt:i4>6</vt:i4>
      </vt:variant>
      <vt:variant>
        <vt:i4>0</vt:i4>
      </vt:variant>
      <vt:variant>
        <vt:i4>5</vt:i4>
      </vt:variant>
      <vt:variant>
        <vt:lpwstr>mailto:vvkt@vvkt.lt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2026-07-31T04:22:00Z</dcterms:created>
  <dcterms:modified xsi:type="dcterms:W3CDTF">2026-08-06T08:04:00Z</dcterms:modified>
</cp:coreProperties>
</file>