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E5EB3" w14:textId="1955ADE3" w:rsidR="005F7602" w:rsidRPr="00C36B3E" w:rsidRDefault="005F7602" w:rsidP="002946C7">
      <w:pPr>
        <w:ind w:left="5529"/>
      </w:pPr>
    </w:p>
    <w:p w14:paraId="12FA4B9E" w14:textId="39AA3336" w:rsidR="001B3C5B" w:rsidRPr="00C36B3E" w:rsidRDefault="00DC261A" w:rsidP="001B3C5B">
      <w:pPr>
        <w:ind w:left="6096"/>
      </w:pPr>
      <w:bookmarkStart w:id="0" w:name="_Hlk189565243"/>
      <w:r w:rsidRPr="00C36B3E">
        <w:t>PATVIRTINTA</w:t>
      </w:r>
    </w:p>
    <w:p w14:paraId="7206970B" w14:textId="70E9BD2E" w:rsidR="004C263A" w:rsidRPr="00C36B3E" w:rsidRDefault="001B3C5B" w:rsidP="001B3C5B">
      <w:pPr>
        <w:ind w:left="6096"/>
      </w:pPr>
      <w:r w:rsidRPr="00C36B3E">
        <w:t>Valstybinės vaistų kontrolės tarnybos prie Lietuvos Respublikos sveikatos apsaugos ministerijos viršininko 2021 m</w:t>
      </w:r>
      <w:r w:rsidR="004C263A" w:rsidRPr="00C36B3E">
        <w:t xml:space="preserve">. lapkričio 12 </w:t>
      </w:r>
      <w:r w:rsidRPr="00C36B3E">
        <w:t>d. įsakymu Nr.</w:t>
      </w:r>
      <w:r w:rsidR="004C263A" w:rsidRPr="00C36B3E">
        <w:t xml:space="preserve"> (1.72E)1A-1418</w:t>
      </w:r>
    </w:p>
    <w:p w14:paraId="5B219AA6" w14:textId="3A5D6CB4" w:rsidR="001B3C5B" w:rsidRPr="00C36B3E" w:rsidRDefault="004C263A" w:rsidP="001B3C5B">
      <w:pPr>
        <w:ind w:left="6096"/>
      </w:pPr>
      <w:r w:rsidRPr="00C36B3E">
        <w:t>(Valstybinės vaistų kontrolės tarnybos prie Lietuvos Respublikos sveikatos apsaugos ministerijos viršininko 202</w:t>
      </w:r>
      <w:r w:rsidR="00A2310D" w:rsidRPr="00C36B3E">
        <w:t>5</w:t>
      </w:r>
      <w:r w:rsidRPr="00C36B3E">
        <w:t xml:space="preserve"> m.                         d. įsakymo Nr.                    redakcija)</w:t>
      </w:r>
    </w:p>
    <w:p w14:paraId="3336BD74" w14:textId="77777777" w:rsidR="001B3C5B" w:rsidRPr="00C36B3E" w:rsidRDefault="001B3C5B" w:rsidP="00FA4169"/>
    <w:bookmarkEnd w:id="0"/>
    <w:p w14:paraId="77AFB67E" w14:textId="0FB133A2" w:rsidR="00613501" w:rsidRPr="00C36B3E" w:rsidRDefault="002F0E4F" w:rsidP="003B211A">
      <w:pPr>
        <w:jc w:val="center"/>
        <w:rPr>
          <w:b/>
          <w:bCs/>
          <w:caps/>
        </w:rPr>
      </w:pPr>
      <w:r w:rsidRPr="00C36B3E">
        <w:rPr>
          <w:b/>
        </w:rPr>
        <w:t xml:space="preserve">REKOMENDACIJA DĖL VAISTINIO PREPARATO </w:t>
      </w:r>
      <w:r w:rsidRPr="00C36B3E">
        <w:rPr>
          <w:b/>
          <w:bCs/>
          <w:caps/>
        </w:rPr>
        <w:t>Lietuvos Respublikos Sveikatos apsaugos ministerijos vaistinių preparatų ir medicinos pagalbos priemonių kompensavimo komisijai</w:t>
      </w:r>
    </w:p>
    <w:p w14:paraId="34E4395D" w14:textId="15FB10DF" w:rsidR="00B13D65" w:rsidRPr="00C36B3E" w:rsidRDefault="00B13D65" w:rsidP="003B211A">
      <w:pPr>
        <w:jc w:val="center"/>
        <w:rPr>
          <w:b/>
        </w:rPr>
      </w:pPr>
    </w:p>
    <w:p w14:paraId="26556611" w14:textId="0CB03710" w:rsidR="005B7DCD" w:rsidRPr="00C36B3E" w:rsidRDefault="005B7DCD" w:rsidP="005B7DCD">
      <w:pPr>
        <w:jc w:val="center"/>
        <w:rPr>
          <w:b/>
        </w:rPr>
      </w:pPr>
      <w:r w:rsidRPr="00C36B3E">
        <w:rPr>
          <w:b/>
        </w:rPr>
        <w:t>LEQEMBI 100 mg/ml koncentratas infuziniam tirpalui</w:t>
      </w:r>
    </w:p>
    <w:p w14:paraId="7510F28F" w14:textId="77777777" w:rsidR="005B7DCD" w:rsidRPr="00C36B3E" w:rsidRDefault="005B7DCD" w:rsidP="005B7DCD">
      <w:pPr>
        <w:jc w:val="center"/>
        <w:rPr>
          <w:b/>
        </w:rPr>
      </w:pPr>
    </w:p>
    <w:p w14:paraId="263641FA" w14:textId="77777777" w:rsidR="005B7DCD" w:rsidRPr="00C36B3E" w:rsidRDefault="005B7DCD" w:rsidP="005B7DCD">
      <w:pPr>
        <w:jc w:val="center"/>
        <w:rPr>
          <w:b/>
        </w:rPr>
      </w:pPr>
      <w:r w:rsidRPr="00C36B3E">
        <w:rPr>
          <w:b/>
        </w:rPr>
        <w:t>Lekanemabas</w:t>
      </w:r>
    </w:p>
    <w:p w14:paraId="0A8DC833" w14:textId="77777777" w:rsidR="005B7DCD" w:rsidRPr="00C36B3E" w:rsidRDefault="005B7DCD" w:rsidP="005B7DCD">
      <w:pPr>
        <w:jc w:val="center"/>
        <w:rPr>
          <w:b/>
        </w:rPr>
      </w:pPr>
    </w:p>
    <w:p w14:paraId="7C45FEBA" w14:textId="77777777" w:rsidR="005B7DCD" w:rsidRPr="00C36B3E" w:rsidRDefault="005B7DCD" w:rsidP="005B7DCD">
      <w:pPr>
        <w:jc w:val="center"/>
        <w:rPr>
          <w:b/>
        </w:rPr>
      </w:pPr>
    </w:p>
    <w:p w14:paraId="0616E800" w14:textId="244A1A3C" w:rsidR="005B7DCD" w:rsidRPr="00C36B3E" w:rsidRDefault="005B7DCD" w:rsidP="005B7DCD">
      <w:pPr>
        <w:jc w:val="center"/>
        <w:rPr>
          <w:b/>
        </w:rPr>
      </w:pPr>
      <w:r w:rsidRPr="00C36B3E">
        <w:rPr>
          <w:b/>
        </w:rPr>
        <w:t>Paraiškos numeris STV 284</w:t>
      </w:r>
    </w:p>
    <w:p w14:paraId="1CF68D73" w14:textId="77777777" w:rsidR="005B7DCD" w:rsidRPr="00C36B3E" w:rsidRDefault="005B7DCD" w:rsidP="003B211A">
      <w:pPr>
        <w:jc w:val="center"/>
        <w:rPr>
          <w:b/>
        </w:rPr>
      </w:pPr>
    </w:p>
    <w:p w14:paraId="5DBC302C" w14:textId="77777777" w:rsidR="005B7DCD" w:rsidRPr="00C36B3E" w:rsidRDefault="005B7DCD" w:rsidP="003B211A">
      <w:pPr>
        <w:jc w:val="center"/>
        <w:rPr>
          <w:b/>
        </w:rPr>
      </w:pPr>
    </w:p>
    <w:p w14:paraId="78C89D1C" w14:textId="0DEFFAA5" w:rsidR="00D4485B" w:rsidRPr="00C36B3E" w:rsidRDefault="00B13D65" w:rsidP="00CC09D4">
      <w:pPr>
        <w:pStyle w:val="Sraopastraipa"/>
        <w:numPr>
          <w:ilvl w:val="0"/>
          <w:numId w:val="12"/>
        </w:numPr>
        <w:tabs>
          <w:tab w:val="left" w:pos="567"/>
        </w:tabs>
        <w:ind w:left="567" w:hanging="567"/>
        <w:rPr>
          <w:b/>
          <w:bCs/>
          <w:caps/>
        </w:rPr>
      </w:pPr>
      <w:r w:rsidRPr="00C36B3E">
        <w:rPr>
          <w:b/>
          <w:bCs/>
          <w:caps/>
        </w:rPr>
        <w:t>Bendroji dalis</w:t>
      </w:r>
    </w:p>
    <w:p w14:paraId="04A7C7A7" w14:textId="77777777" w:rsidR="00B13D65" w:rsidRPr="00C36B3E" w:rsidRDefault="00B13D65" w:rsidP="00E03C3F">
      <w:pPr>
        <w:pStyle w:val="Sraopastraipa"/>
        <w:tabs>
          <w:tab w:val="left" w:pos="284"/>
        </w:tabs>
        <w:ind w:left="0"/>
        <w:rPr>
          <w:b/>
          <w:bCs/>
          <w:caps/>
        </w:rPr>
      </w:pPr>
    </w:p>
    <w:tbl>
      <w:tblPr>
        <w:tblStyle w:val="Lentelstinklelis"/>
        <w:tblW w:w="9493" w:type="dxa"/>
        <w:tblLook w:val="04A0" w:firstRow="1" w:lastRow="0" w:firstColumn="1" w:lastColumn="0" w:noHBand="0" w:noVBand="1"/>
      </w:tblPr>
      <w:tblGrid>
        <w:gridCol w:w="632"/>
        <w:gridCol w:w="3899"/>
        <w:gridCol w:w="4962"/>
      </w:tblGrid>
      <w:tr w:rsidR="00137B4F" w:rsidRPr="00C36B3E" w14:paraId="16A7BC7B" w14:textId="77777777" w:rsidTr="005F2049">
        <w:trPr>
          <w:trHeight w:val="538"/>
        </w:trPr>
        <w:tc>
          <w:tcPr>
            <w:tcW w:w="632" w:type="dxa"/>
          </w:tcPr>
          <w:p w14:paraId="4572808D" w14:textId="77777777" w:rsidR="00137B4F" w:rsidRPr="00C36B3E" w:rsidRDefault="00137B4F" w:rsidP="00137B4F">
            <w:pPr>
              <w:rPr>
                <w:rFonts w:eastAsia="Arial"/>
                <w:b/>
                <w:bCs/>
              </w:rPr>
            </w:pPr>
            <w:r w:rsidRPr="00C36B3E">
              <w:rPr>
                <w:rFonts w:eastAsia="Arial"/>
                <w:b/>
                <w:bCs/>
              </w:rPr>
              <w:t>1.1</w:t>
            </w:r>
          </w:p>
        </w:tc>
        <w:tc>
          <w:tcPr>
            <w:tcW w:w="3899" w:type="dxa"/>
          </w:tcPr>
          <w:p w14:paraId="54BA6EB3" w14:textId="77777777" w:rsidR="00137B4F" w:rsidRPr="00C36B3E" w:rsidRDefault="00137B4F" w:rsidP="00137B4F">
            <w:pPr>
              <w:rPr>
                <w:rFonts w:eastAsia="Arial"/>
                <w:b/>
                <w:bCs/>
              </w:rPr>
            </w:pPr>
            <w:r w:rsidRPr="00C36B3E">
              <w:rPr>
                <w:rFonts w:eastAsia="Arial"/>
                <w:b/>
                <w:bCs/>
              </w:rPr>
              <w:t>Pareiškėjas/ pareiškėjo atstovas</w:t>
            </w:r>
          </w:p>
        </w:tc>
        <w:tc>
          <w:tcPr>
            <w:tcW w:w="4962" w:type="dxa"/>
          </w:tcPr>
          <w:p w14:paraId="18AD2326" w14:textId="77777777" w:rsidR="00137B4F" w:rsidRPr="00C36B3E" w:rsidRDefault="00137B4F" w:rsidP="00137B4F">
            <w:pPr>
              <w:jc w:val="both"/>
            </w:pPr>
            <w:r w:rsidRPr="00C36B3E">
              <w:t xml:space="preserve">Eisai GmbH Edmund-Rumpler-Straße 3 60549 Frankfurt am Main Vokietija </w:t>
            </w:r>
          </w:p>
          <w:p w14:paraId="09F108EF" w14:textId="452A28CB" w:rsidR="00137B4F" w:rsidRPr="00C36B3E" w:rsidRDefault="00137B4F" w:rsidP="00137B4F">
            <w:r w:rsidRPr="00C36B3E">
              <w:t>El. paštas: medinfo_de@eisai.net</w:t>
            </w:r>
          </w:p>
        </w:tc>
      </w:tr>
      <w:tr w:rsidR="00137B4F" w:rsidRPr="00C36B3E" w14:paraId="101EA148" w14:textId="77777777" w:rsidTr="005F2049">
        <w:trPr>
          <w:trHeight w:val="538"/>
        </w:trPr>
        <w:tc>
          <w:tcPr>
            <w:tcW w:w="632" w:type="dxa"/>
          </w:tcPr>
          <w:p w14:paraId="3BF67175" w14:textId="77777777" w:rsidR="00137B4F" w:rsidRPr="00C36B3E" w:rsidRDefault="00137B4F" w:rsidP="00137B4F">
            <w:pPr>
              <w:rPr>
                <w:rFonts w:eastAsia="Arial"/>
                <w:b/>
                <w:bCs/>
              </w:rPr>
            </w:pPr>
            <w:r w:rsidRPr="00C36B3E">
              <w:rPr>
                <w:rFonts w:eastAsia="Arial"/>
                <w:b/>
                <w:bCs/>
              </w:rPr>
              <w:t>1.2</w:t>
            </w:r>
          </w:p>
        </w:tc>
        <w:tc>
          <w:tcPr>
            <w:tcW w:w="3899" w:type="dxa"/>
          </w:tcPr>
          <w:p w14:paraId="786B66DF" w14:textId="77777777" w:rsidR="00137B4F" w:rsidRPr="00C36B3E" w:rsidRDefault="00137B4F" w:rsidP="00137B4F">
            <w:pPr>
              <w:rPr>
                <w:b/>
                <w:bCs/>
                <w:lang w:eastAsia="lt-LT"/>
              </w:rPr>
            </w:pPr>
            <w:r w:rsidRPr="00C36B3E">
              <w:rPr>
                <w:b/>
                <w:bCs/>
                <w:lang w:eastAsia="lt-LT"/>
              </w:rPr>
              <w:t xml:space="preserve">Vaistinio preparato registracijos data </w:t>
            </w:r>
          </w:p>
          <w:p w14:paraId="4B568341" w14:textId="77777777" w:rsidR="00137B4F" w:rsidRPr="00C36B3E" w:rsidRDefault="00137B4F" w:rsidP="00137B4F">
            <w:pPr>
              <w:rPr>
                <w:b/>
                <w:bCs/>
                <w:lang w:eastAsia="lt-LT"/>
              </w:rPr>
            </w:pPr>
          </w:p>
        </w:tc>
        <w:tc>
          <w:tcPr>
            <w:tcW w:w="4962" w:type="dxa"/>
          </w:tcPr>
          <w:p w14:paraId="77EC78F4" w14:textId="2C6CFD26" w:rsidR="00137B4F" w:rsidRPr="00C36B3E" w:rsidRDefault="00C87688" w:rsidP="00137B4F">
            <w:pPr>
              <w:rPr>
                <w:sz w:val="32"/>
              </w:rPr>
            </w:pPr>
            <w:sdt>
              <w:sdtPr>
                <w:rPr>
                  <w:sz w:val="32"/>
                </w:rPr>
                <w:alias w:val="Nurodykite konkrečią dieną"/>
                <w:tag w:val="Nurodykite pradžios datą"/>
                <w:id w:val="1772196685"/>
                <w:placeholder>
                  <w:docPart w:val="49158872CED14898AE5B691B580FEE3B"/>
                </w:placeholder>
                <w15:color w:val="FFCC99"/>
                <w:date w:fullDate="2025-04-15T00:00:00Z">
                  <w:dateFormat w:val="yyyy 'm.' MMMM d 'd.'"/>
                  <w:lid w:val="lt-LT"/>
                  <w:storeMappedDataAs w:val="dateTime"/>
                  <w:calendar w:val="gregorian"/>
                </w:date>
              </w:sdtPr>
              <w:sdtEndPr/>
              <w:sdtContent>
                <w:r w:rsidR="00137B4F" w:rsidRPr="00C36B3E">
                  <w:t>2025 m. balandžio 15 d.</w:t>
                </w:r>
              </w:sdtContent>
            </w:sdt>
          </w:p>
        </w:tc>
      </w:tr>
      <w:tr w:rsidR="00137B4F" w:rsidRPr="00C36B3E" w14:paraId="3D70E0FA" w14:textId="77777777" w:rsidTr="005F2049">
        <w:trPr>
          <w:trHeight w:val="1643"/>
        </w:trPr>
        <w:tc>
          <w:tcPr>
            <w:tcW w:w="632" w:type="dxa"/>
          </w:tcPr>
          <w:p w14:paraId="021DF6BD" w14:textId="77777777" w:rsidR="00137B4F" w:rsidRPr="00C36B3E" w:rsidRDefault="00137B4F" w:rsidP="00137B4F">
            <w:pPr>
              <w:rPr>
                <w:rFonts w:eastAsia="Arial"/>
                <w:b/>
                <w:bCs/>
              </w:rPr>
            </w:pPr>
            <w:r w:rsidRPr="00C36B3E">
              <w:rPr>
                <w:rFonts w:eastAsia="Arial"/>
                <w:b/>
                <w:bCs/>
              </w:rPr>
              <w:t>1.3</w:t>
            </w:r>
          </w:p>
        </w:tc>
        <w:tc>
          <w:tcPr>
            <w:tcW w:w="3899" w:type="dxa"/>
          </w:tcPr>
          <w:p w14:paraId="528F713F" w14:textId="77777777" w:rsidR="00137B4F" w:rsidRPr="00C36B3E" w:rsidRDefault="00137B4F" w:rsidP="00137B4F">
            <w:pPr>
              <w:pStyle w:val="Betarp"/>
              <w:rPr>
                <w:rFonts w:ascii="Times New Roman" w:hAnsi="Times New Roman"/>
                <w:b/>
                <w:sz w:val="24"/>
                <w:szCs w:val="24"/>
                <w:shd w:val="clear" w:color="auto" w:fill="FFFFFF"/>
              </w:rPr>
            </w:pPr>
            <w:r w:rsidRPr="00C36B3E">
              <w:rPr>
                <w:rFonts w:ascii="Times New Roman" w:hAnsi="Times New Roman"/>
                <w:b/>
                <w:sz w:val="24"/>
                <w:szCs w:val="24"/>
              </w:rPr>
              <w:t xml:space="preserve">Vaistinio preparato </w:t>
            </w:r>
            <w:r w:rsidRPr="00C36B3E">
              <w:rPr>
                <w:rFonts w:ascii="Times New Roman" w:hAnsi="Times New Roman"/>
                <w:b/>
                <w:sz w:val="24"/>
                <w:szCs w:val="24"/>
                <w:shd w:val="clear" w:color="auto" w:fill="FFFFFF"/>
              </w:rPr>
              <w:t>registracijos teisinis pagrindas</w:t>
            </w:r>
          </w:p>
          <w:p w14:paraId="63F86DC1" w14:textId="77777777" w:rsidR="00137B4F" w:rsidRPr="00C36B3E" w:rsidRDefault="00137B4F" w:rsidP="00137B4F">
            <w:pPr>
              <w:pStyle w:val="Betarp"/>
              <w:rPr>
                <w:rFonts w:ascii="Times New Roman" w:hAnsi="Times New Roman"/>
                <w:b/>
                <w:bCs/>
                <w:sz w:val="24"/>
                <w:szCs w:val="24"/>
                <w:lang w:eastAsia="lt-LT"/>
              </w:rPr>
            </w:pPr>
            <w:r w:rsidRPr="00C36B3E">
              <w:rPr>
                <w:rFonts w:ascii="Times New Roman" w:hAnsi="Times New Roman"/>
                <w:b/>
                <w:sz w:val="24"/>
                <w:szCs w:val="24"/>
                <w:shd w:val="clear" w:color="auto" w:fill="FFFFFF"/>
              </w:rPr>
              <w:t>(</w:t>
            </w:r>
            <w:r w:rsidRPr="00C36B3E">
              <w:rPr>
                <w:rFonts w:ascii="Times New Roman" w:hAnsi="Times New Roman"/>
                <w:b/>
                <w:sz w:val="24"/>
                <w:szCs w:val="24"/>
              </w:rPr>
              <w:t>Direktyvos 2001/83/EB str.)</w:t>
            </w:r>
          </w:p>
        </w:tc>
        <w:tc>
          <w:tcPr>
            <w:tcW w:w="4962" w:type="dxa"/>
          </w:tcPr>
          <w:p w14:paraId="1ECCB22A" w14:textId="78000CE4" w:rsidR="00137B4F" w:rsidRPr="00C36B3E" w:rsidRDefault="00C87688" w:rsidP="00137B4F">
            <w:pPr>
              <w:jc w:val="both"/>
            </w:pPr>
            <w:sdt>
              <w:sdtPr>
                <w:rPr>
                  <w:rStyle w:val="Style2"/>
                  <w:sz w:val="24"/>
                </w:rPr>
                <w:id w:val="526292078"/>
                <w15:color w:val="FFCC00"/>
                <w14:checkbox>
                  <w14:checked w14:val="1"/>
                  <w14:checkedState w14:val="2612" w14:font="MS Gothic"/>
                  <w14:uncheckedState w14:val="2610" w14:font="MS Gothic"/>
                </w14:checkbox>
              </w:sdtPr>
              <w:sdtEndPr>
                <w:rPr>
                  <w:rStyle w:val="Style2"/>
                </w:rPr>
              </w:sdtEndPr>
              <w:sdtContent>
                <w:r w:rsidR="00DD46F7">
                  <w:rPr>
                    <w:rStyle w:val="Style2"/>
                    <w:rFonts w:ascii="MS Gothic" w:eastAsia="MS Gothic" w:hAnsi="MS Gothic" w:hint="eastAsia"/>
                    <w:sz w:val="24"/>
                  </w:rPr>
                  <w:t>☒</w:t>
                </w:r>
              </w:sdtContent>
            </w:sdt>
            <w:r w:rsidR="00137B4F" w:rsidRPr="00C36B3E">
              <w:t>8.3 str. (pilna byla, pagrįsta savais tyrimais)</w:t>
            </w:r>
          </w:p>
          <w:p w14:paraId="2DDBC788" w14:textId="77777777" w:rsidR="00137B4F" w:rsidRPr="00C36B3E" w:rsidRDefault="00C87688" w:rsidP="00137B4F">
            <w:pPr>
              <w:jc w:val="both"/>
            </w:pPr>
            <w:sdt>
              <w:sdtPr>
                <w:rPr>
                  <w:rStyle w:val="Style2"/>
                  <w:sz w:val="24"/>
                </w:rPr>
                <w:id w:val="-1497953736"/>
                <w15:color w:val="FFCC00"/>
                <w14:checkbox>
                  <w14:checked w14:val="0"/>
                  <w14:checkedState w14:val="2612" w14:font="MS Gothic"/>
                  <w14:uncheckedState w14:val="2610" w14:font="MS Gothic"/>
                </w14:checkbox>
              </w:sdtPr>
              <w:sdtEndPr>
                <w:rPr>
                  <w:rStyle w:val="Style2"/>
                </w:rPr>
              </w:sdtEndPr>
              <w:sdtContent>
                <w:r w:rsidR="00137B4F" w:rsidRPr="00C36B3E">
                  <w:rPr>
                    <w:rStyle w:val="Style2"/>
                    <w:rFonts w:ascii="Segoe UI Symbol" w:eastAsia="MS Gothic" w:hAnsi="Segoe UI Symbol" w:cs="Segoe UI Symbol"/>
                    <w:sz w:val="24"/>
                  </w:rPr>
                  <w:t>☐</w:t>
                </w:r>
              </w:sdtContent>
            </w:sdt>
            <w:r w:rsidR="00137B4F" w:rsidRPr="00C36B3E">
              <w:t>10 a str. (pripažintas medicininis vartojimas)</w:t>
            </w:r>
          </w:p>
          <w:p w14:paraId="638270D0" w14:textId="77777777" w:rsidR="00137B4F" w:rsidRPr="00C36B3E" w:rsidRDefault="00C87688" w:rsidP="00137B4F">
            <w:pPr>
              <w:jc w:val="both"/>
            </w:pPr>
            <w:sdt>
              <w:sdtPr>
                <w:rPr>
                  <w:rStyle w:val="Style2"/>
                  <w:sz w:val="24"/>
                </w:rPr>
                <w:id w:val="204142496"/>
                <w15:color w:val="FFCC00"/>
                <w14:checkbox>
                  <w14:checked w14:val="0"/>
                  <w14:checkedState w14:val="2612" w14:font="MS Gothic"/>
                  <w14:uncheckedState w14:val="2610" w14:font="MS Gothic"/>
                </w14:checkbox>
              </w:sdtPr>
              <w:sdtEndPr>
                <w:rPr>
                  <w:rStyle w:val="Style2"/>
                </w:rPr>
              </w:sdtEndPr>
              <w:sdtContent>
                <w:r w:rsidR="00137B4F" w:rsidRPr="00C36B3E">
                  <w:rPr>
                    <w:rStyle w:val="Style2"/>
                    <w:rFonts w:ascii="Segoe UI Symbol" w:eastAsia="MS Gothic" w:hAnsi="Segoe UI Symbol" w:cs="Segoe UI Symbol"/>
                    <w:sz w:val="24"/>
                  </w:rPr>
                  <w:t>☐</w:t>
                </w:r>
              </w:sdtContent>
            </w:sdt>
            <w:r w:rsidR="00137B4F" w:rsidRPr="00C36B3E">
              <w:t>10.1 str. (generinis)</w:t>
            </w:r>
          </w:p>
          <w:p w14:paraId="1E2ED58C" w14:textId="77777777" w:rsidR="00137B4F" w:rsidRPr="00C36B3E" w:rsidRDefault="00C87688" w:rsidP="00137B4F">
            <w:pPr>
              <w:jc w:val="both"/>
            </w:pPr>
            <w:sdt>
              <w:sdtPr>
                <w:rPr>
                  <w:rStyle w:val="Style2"/>
                  <w:sz w:val="24"/>
                </w:rPr>
                <w:id w:val="820305101"/>
                <w15:color w:val="FFCC00"/>
                <w14:checkbox>
                  <w14:checked w14:val="0"/>
                  <w14:checkedState w14:val="2612" w14:font="MS Gothic"/>
                  <w14:uncheckedState w14:val="2610" w14:font="MS Gothic"/>
                </w14:checkbox>
              </w:sdtPr>
              <w:sdtEndPr>
                <w:rPr>
                  <w:rStyle w:val="Style2"/>
                </w:rPr>
              </w:sdtEndPr>
              <w:sdtContent>
                <w:r w:rsidR="00137B4F" w:rsidRPr="00C36B3E">
                  <w:rPr>
                    <w:rStyle w:val="Style2"/>
                    <w:rFonts w:ascii="Segoe UI Symbol" w:eastAsia="MS Gothic" w:hAnsi="Segoe UI Symbol" w:cs="Segoe UI Symbol"/>
                    <w:sz w:val="24"/>
                  </w:rPr>
                  <w:t>☐</w:t>
                </w:r>
              </w:sdtContent>
            </w:sdt>
            <w:r w:rsidR="00137B4F" w:rsidRPr="00C36B3E">
              <w:t>10.3 str. (hibridinis)</w:t>
            </w:r>
          </w:p>
          <w:p w14:paraId="05C32A9D" w14:textId="77777777" w:rsidR="00137B4F" w:rsidRPr="00C36B3E" w:rsidRDefault="00C87688" w:rsidP="00137B4F">
            <w:sdt>
              <w:sdtPr>
                <w:rPr>
                  <w:rStyle w:val="Style2"/>
                  <w:sz w:val="24"/>
                </w:rPr>
                <w:id w:val="-450176040"/>
                <w15:color w:val="FFCC00"/>
                <w14:checkbox>
                  <w14:checked w14:val="0"/>
                  <w14:checkedState w14:val="2612" w14:font="MS Gothic"/>
                  <w14:uncheckedState w14:val="2610" w14:font="MS Gothic"/>
                </w14:checkbox>
              </w:sdtPr>
              <w:sdtEndPr>
                <w:rPr>
                  <w:rStyle w:val="Style2"/>
                </w:rPr>
              </w:sdtEndPr>
              <w:sdtContent>
                <w:r w:rsidR="00137B4F" w:rsidRPr="00C36B3E">
                  <w:rPr>
                    <w:rStyle w:val="Style2"/>
                    <w:rFonts w:ascii="Segoe UI Symbol" w:eastAsia="MS Gothic" w:hAnsi="Segoe UI Symbol" w:cs="Segoe UI Symbol"/>
                    <w:sz w:val="24"/>
                  </w:rPr>
                  <w:t>☐</w:t>
                </w:r>
              </w:sdtContent>
            </w:sdt>
            <w:r w:rsidR="00137B4F" w:rsidRPr="00C36B3E">
              <w:t>10.4 str. (panašus biologinis)</w:t>
            </w:r>
          </w:p>
          <w:p w14:paraId="2B4678D7" w14:textId="77777777" w:rsidR="00137B4F" w:rsidRPr="00C36B3E" w:rsidRDefault="00137B4F" w:rsidP="00137B4F">
            <w:pPr>
              <w:jc w:val="both"/>
            </w:pPr>
          </w:p>
          <w:p w14:paraId="50BB7DD6" w14:textId="77777777" w:rsidR="00137B4F" w:rsidRPr="00C36B3E" w:rsidRDefault="00137B4F" w:rsidP="00137B4F">
            <w:pPr>
              <w:rPr>
                <w:rStyle w:val="Style2"/>
                <w:sz w:val="24"/>
              </w:rPr>
            </w:pPr>
          </w:p>
        </w:tc>
      </w:tr>
      <w:tr w:rsidR="00137B4F" w:rsidRPr="00C36B3E" w14:paraId="31641941" w14:textId="77777777" w:rsidTr="005F2049">
        <w:trPr>
          <w:trHeight w:val="1011"/>
        </w:trPr>
        <w:tc>
          <w:tcPr>
            <w:tcW w:w="632" w:type="dxa"/>
          </w:tcPr>
          <w:p w14:paraId="2E73A32C" w14:textId="77777777" w:rsidR="00137B4F" w:rsidRPr="00C36B3E" w:rsidRDefault="00137B4F" w:rsidP="00137B4F">
            <w:pPr>
              <w:rPr>
                <w:rFonts w:eastAsia="Arial"/>
                <w:b/>
                <w:bCs/>
              </w:rPr>
            </w:pPr>
            <w:r w:rsidRPr="00C36B3E">
              <w:rPr>
                <w:rFonts w:eastAsia="Arial"/>
                <w:b/>
              </w:rPr>
              <w:t>1.4</w:t>
            </w:r>
          </w:p>
        </w:tc>
        <w:tc>
          <w:tcPr>
            <w:tcW w:w="3899" w:type="dxa"/>
          </w:tcPr>
          <w:p w14:paraId="2547AC59" w14:textId="77777777" w:rsidR="00137B4F" w:rsidRPr="00C36B3E" w:rsidRDefault="00137B4F" w:rsidP="00137B4F">
            <w:pPr>
              <w:tabs>
                <w:tab w:val="left" w:pos="284"/>
              </w:tabs>
              <w:rPr>
                <w:b/>
                <w:bCs/>
                <w:lang w:eastAsia="lt-LT"/>
              </w:rPr>
            </w:pPr>
            <w:r w:rsidRPr="00C36B3E">
              <w:rPr>
                <w:b/>
                <w:bCs/>
                <w:lang w:eastAsia="lt-LT"/>
              </w:rPr>
              <w:t>Ar vaistinis preparatas įrašytas į Bendrijos retųjų vaistinių preparatų registrą?</w:t>
            </w:r>
          </w:p>
        </w:tc>
        <w:tc>
          <w:tcPr>
            <w:tcW w:w="4962" w:type="dxa"/>
          </w:tcPr>
          <w:p w14:paraId="335BC217" w14:textId="77777777" w:rsidR="00137B4F" w:rsidRPr="00C36B3E" w:rsidRDefault="00C87688" w:rsidP="00137B4F">
            <w:pPr>
              <w:jc w:val="both"/>
            </w:pPr>
            <w:sdt>
              <w:sdtPr>
                <w:rPr>
                  <w:rStyle w:val="Style2"/>
                  <w:sz w:val="24"/>
                </w:rPr>
                <w:id w:val="1190730465"/>
                <w15:color w:val="FFCC00"/>
                <w14:checkbox>
                  <w14:checked w14:val="0"/>
                  <w14:checkedState w14:val="2612" w14:font="MS Gothic"/>
                  <w14:uncheckedState w14:val="2610" w14:font="MS Gothic"/>
                </w14:checkbox>
              </w:sdtPr>
              <w:sdtEndPr>
                <w:rPr>
                  <w:rStyle w:val="Style2"/>
                </w:rPr>
              </w:sdtEndPr>
              <w:sdtContent>
                <w:r w:rsidR="00137B4F" w:rsidRPr="00C36B3E">
                  <w:rPr>
                    <w:rStyle w:val="Style2"/>
                    <w:rFonts w:ascii="Segoe UI Symbol" w:eastAsia="MS Gothic" w:hAnsi="Segoe UI Symbol" w:cs="Segoe UI Symbol"/>
                    <w:sz w:val="24"/>
                  </w:rPr>
                  <w:t>☐</w:t>
                </w:r>
              </w:sdtContent>
            </w:sdt>
            <w:r w:rsidR="00137B4F" w:rsidRPr="00C36B3E">
              <w:t xml:space="preserve"> Taip       </w:t>
            </w:r>
            <w:r w:rsidR="00137B4F" w:rsidRPr="00C36B3E">
              <w:rPr>
                <w:rStyle w:val="Style2"/>
                <w:sz w:val="24"/>
              </w:rPr>
              <w:t xml:space="preserve"> </w:t>
            </w:r>
            <w:sdt>
              <w:sdtPr>
                <w:rPr>
                  <w:rStyle w:val="Style2"/>
                  <w:sz w:val="24"/>
                </w:rPr>
                <w:id w:val="-1760283509"/>
                <w15:color w:val="FFCC00"/>
                <w14:checkbox>
                  <w14:checked w14:val="1"/>
                  <w14:checkedState w14:val="2612" w14:font="MS Gothic"/>
                  <w14:uncheckedState w14:val="2610" w14:font="MS Gothic"/>
                </w14:checkbox>
              </w:sdtPr>
              <w:sdtEndPr>
                <w:rPr>
                  <w:rStyle w:val="Style2"/>
                </w:rPr>
              </w:sdtEndPr>
              <w:sdtContent>
                <w:r w:rsidR="00137B4F" w:rsidRPr="00C36B3E">
                  <w:rPr>
                    <w:rStyle w:val="Style2"/>
                    <w:rFonts w:ascii="MS Gothic" w:eastAsia="MS Gothic" w:hAnsi="MS Gothic"/>
                    <w:sz w:val="24"/>
                  </w:rPr>
                  <w:t>☒</w:t>
                </w:r>
              </w:sdtContent>
            </w:sdt>
            <w:r w:rsidR="00137B4F" w:rsidRPr="00C36B3E">
              <w:t xml:space="preserve"> Ne</w:t>
            </w:r>
          </w:p>
          <w:p w14:paraId="6231A839" w14:textId="77777777" w:rsidR="00137B4F" w:rsidRPr="00C36B3E" w:rsidRDefault="00137B4F" w:rsidP="00137B4F">
            <w:pPr>
              <w:jc w:val="both"/>
            </w:pPr>
            <w:r w:rsidRPr="00C36B3E">
              <w:t xml:space="preserve">Data: </w:t>
            </w:r>
            <w:sdt>
              <w:sdtPr>
                <w:alias w:val="Nurodykite konkrečią dieną"/>
                <w:tag w:val="Nurodykite pradžios datą"/>
                <w:id w:val="1784158105"/>
                <w:placeholder>
                  <w:docPart w:val="C9308B85C0C544B2BE53E6846E9EAA9C"/>
                </w:placeholder>
                <w:showingPlcHdr/>
                <w15:color w:val="FFCC99"/>
                <w:date w:fullDate="2022-05-18T00:00:00Z">
                  <w:dateFormat w:val="yyyy 'm.' MMMM d 'd.'"/>
                  <w:lid w:val="lt-LT"/>
                  <w:storeMappedDataAs w:val="dateTime"/>
                  <w:calendar w:val="gregorian"/>
                </w:date>
              </w:sdtPr>
              <w:sdtEndPr/>
              <w:sdtContent>
                <w:r w:rsidRPr="00C36B3E">
                  <w:rPr>
                    <w:rStyle w:val="Vietosrezervavimoenklotekstas"/>
                    <w:color w:val="auto"/>
                  </w:rPr>
                  <w:t>Click here to enter a date.</w:t>
                </w:r>
              </w:sdtContent>
            </w:sdt>
          </w:p>
          <w:p w14:paraId="4CBFBCD1" w14:textId="260F7191" w:rsidR="00137B4F" w:rsidRPr="00C36B3E" w:rsidRDefault="00137B4F" w:rsidP="00137B4F">
            <w:pPr>
              <w:rPr>
                <w:rStyle w:val="Style2"/>
                <w:sz w:val="24"/>
              </w:rPr>
            </w:pPr>
            <w:r w:rsidRPr="00C36B3E">
              <w:t>Nr.</w:t>
            </w:r>
          </w:p>
        </w:tc>
      </w:tr>
      <w:tr w:rsidR="005F2049" w:rsidRPr="00C36B3E" w14:paraId="5E0775EB" w14:textId="77777777" w:rsidTr="005F2049">
        <w:trPr>
          <w:trHeight w:val="1011"/>
        </w:trPr>
        <w:tc>
          <w:tcPr>
            <w:tcW w:w="632" w:type="dxa"/>
          </w:tcPr>
          <w:p w14:paraId="6829924D" w14:textId="77777777" w:rsidR="005F2049" w:rsidRPr="00C36B3E" w:rsidRDefault="005F2049" w:rsidP="000A2031">
            <w:pPr>
              <w:rPr>
                <w:rFonts w:eastAsia="Arial"/>
                <w:b/>
              </w:rPr>
            </w:pPr>
            <w:r w:rsidRPr="00C36B3E">
              <w:rPr>
                <w:rFonts w:eastAsia="Arial"/>
                <w:b/>
                <w:bCs/>
              </w:rPr>
              <w:t>1.5</w:t>
            </w:r>
          </w:p>
        </w:tc>
        <w:tc>
          <w:tcPr>
            <w:tcW w:w="3899" w:type="dxa"/>
          </w:tcPr>
          <w:p w14:paraId="1DDE7CF3" w14:textId="2FF7A402" w:rsidR="005F2049" w:rsidRPr="00C36B3E" w:rsidRDefault="005F2049" w:rsidP="000A2031">
            <w:pPr>
              <w:tabs>
                <w:tab w:val="left" w:pos="284"/>
              </w:tabs>
              <w:rPr>
                <w:b/>
                <w:bCs/>
                <w:lang w:eastAsia="lt-LT"/>
              </w:rPr>
            </w:pPr>
            <w:r w:rsidRPr="00C36B3E">
              <w:rPr>
                <w:b/>
                <w:bCs/>
                <w:lang w:eastAsia="lt-LT"/>
              </w:rPr>
              <w:t>Ar atliktas bendras klinikinis vertinimas</w:t>
            </w:r>
          </w:p>
          <w:p w14:paraId="0961228D" w14:textId="77777777" w:rsidR="005F2049" w:rsidRPr="00C36B3E" w:rsidRDefault="005F2049" w:rsidP="000A2031">
            <w:pPr>
              <w:tabs>
                <w:tab w:val="left" w:pos="284"/>
              </w:tabs>
              <w:rPr>
                <w:b/>
                <w:bCs/>
                <w:lang w:eastAsia="lt-LT"/>
              </w:rPr>
            </w:pPr>
            <w:r w:rsidRPr="00C36B3E">
              <w:rPr>
                <w:b/>
                <w:bCs/>
                <w:lang w:eastAsia="lt-LT"/>
              </w:rPr>
              <w:t>(Europos Parlamento ir Tarybos reglamentas (ES) 2021/2282)</w:t>
            </w:r>
          </w:p>
          <w:p w14:paraId="7B6C3C1B" w14:textId="77777777" w:rsidR="005F2049" w:rsidRPr="00C36B3E" w:rsidRDefault="005F2049" w:rsidP="000A2031">
            <w:pPr>
              <w:tabs>
                <w:tab w:val="left" w:pos="284"/>
              </w:tabs>
              <w:rPr>
                <w:b/>
                <w:bCs/>
                <w:lang w:eastAsia="lt-LT"/>
              </w:rPr>
            </w:pPr>
          </w:p>
        </w:tc>
        <w:tc>
          <w:tcPr>
            <w:tcW w:w="4962" w:type="dxa"/>
          </w:tcPr>
          <w:p w14:paraId="3F449207" w14:textId="78E98FC6" w:rsidR="005F2049" w:rsidRPr="00C36B3E" w:rsidRDefault="00C87688" w:rsidP="000A2031">
            <w:pPr>
              <w:jc w:val="both"/>
            </w:pPr>
            <w:sdt>
              <w:sdtPr>
                <w:rPr>
                  <w:rStyle w:val="Style2"/>
                </w:rPr>
                <w:id w:val="493150418"/>
                <w15:color w:val="FFCC00"/>
                <w14:checkbox>
                  <w14:checked w14:val="0"/>
                  <w14:checkedState w14:val="2612" w14:font="MS Gothic"/>
                  <w14:uncheckedState w14:val="2610" w14:font="MS Gothic"/>
                </w14:checkbox>
              </w:sdtPr>
              <w:sdtEndPr>
                <w:rPr>
                  <w:rStyle w:val="Style2"/>
                </w:rPr>
              </w:sdtEndPr>
              <w:sdtContent>
                <w:r w:rsidR="008D7DA3" w:rsidRPr="00C36B3E">
                  <w:rPr>
                    <w:rStyle w:val="Style2"/>
                    <w:rFonts w:ascii="MS Gothic" w:eastAsia="MS Gothic" w:hAnsi="MS Gothic"/>
                  </w:rPr>
                  <w:t>☐</w:t>
                </w:r>
              </w:sdtContent>
            </w:sdt>
            <w:r w:rsidR="005F2049" w:rsidRPr="00C36B3E">
              <w:t xml:space="preserve"> Taip       </w:t>
            </w:r>
            <w:r w:rsidR="005F2049" w:rsidRPr="00C36B3E">
              <w:rPr>
                <w:rStyle w:val="Style2"/>
              </w:rPr>
              <w:t xml:space="preserve"> </w:t>
            </w:r>
            <w:sdt>
              <w:sdtPr>
                <w:rPr>
                  <w:rStyle w:val="Style2"/>
                </w:rPr>
                <w:id w:val="953223636"/>
                <w15:color w:val="FFCC00"/>
                <w14:checkbox>
                  <w14:checked w14:val="1"/>
                  <w14:checkedState w14:val="2612" w14:font="MS Gothic"/>
                  <w14:uncheckedState w14:val="2610" w14:font="MS Gothic"/>
                </w14:checkbox>
              </w:sdtPr>
              <w:sdtEndPr>
                <w:rPr>
                  <w:rStyle w:val="Style2"/>
                </w:rPr>
              </w:sdtEndPr>
              <w:sdtContent>
                <w:r w:rsidR="005F2049" w:rsidRPr="00C36B3E">
                  <w:rPr>
                    <w:rStyle w:val="Style2"/>
                    <w:rFonts w:ascii="MS Gothic" w:eastAsia="MS Gothic" w:hAnsi="MS Gothic"/>
                  </w:rPr>
                  <w:t>☒</w:t>
                </w:r>
              </w:sdtContent>
            </w:sdt>
            <w:r w:rsidR="005F2049" w:rsidRPr="00C36B3E">
              <w:t xml:space="preserve"> Ne</w:t>
            </w:r>
          </w:p>
          <w:p w14:paraId="698C0A6D" w14:textId="44A2FA93" w:rsidR="005F2049" w:rsidRPr="00C36B3E" w:rsidRDefault="005F2049" w:rsidP="000A2031">
            <w:pPr>
              <w:rPr>
                <w:rStyle w:val="Style2"/>
                <w:sz w:val="24"/>
              </w:rPr>
            </w:pPr>
            <w:r w:rsidRPr="00C36B3E">
              <w:t xml:space="preserve">Data: </w:t>
            </w:r>
            <w:sdt>
              <w:sdtPr>
                <w:alias w:val="Nurodykite konkrečią dieną"/>
                <w:tag w:val="Nurodykite pradžios datą"/>
                <w:id w:val="1436858703"/>
                <w:placeholder>
                  <w:docPart w:val="6B04B2222626447DA9E6752766913F9B"/>
                </w:placeholder>
                <w:showingPlcHdr/>
                <w15:color w:val="FFCC99"/>
                <w:date w:fullDate="2022-05-18T00:00:00Z">
                  <w:dateFormat w:val="yyyy 'm.' MMMM d 'd.'"/>
                  <w:lid w:val="lt-LT"/>
                  <w:storeMappedDataAs w:val="dateTime"/>
                  <w:calendar w:val="gregorian"/>
                </w:date>
              </w:sdtPr>
              <w:sdtEndPr/>
              <w:sdtContent>
                <w:r w:rsidRPr="00C36B3E">
                  <w:rPr>
                    <w:rStyle w:val="Vietosrezervavimoenklotekstas"/>
                  </w:rPr>
                  <w:t>Click here to enter a date.</w:t>
                </w:r>
              </w:sdtContent>
            </w:sdt>
            <w:r w:rsidRPr="00C36B3E">
              <w:t xml:space="preserve"> </w:t>
            </w:r>
          </w:p>
        </w:tc>
      </w:tr>
      <w:tr w:rsidR="005F2049" w:rsidRPr="00C36B3E" w14:paraId="15E36E93" w14:textId="77777777" w:rsidTr="005F2049">
        <w:trPr>
          <w:trHeight w:val="1278"/>
        </w:trPr>
        <w:tc>
          <w:tcPr>
            <w:tcW w:w="632" w:type="dxa"/>
          </w:tcPr>
          <w:p w14:paraId="5F43AA8F" w14:textId="77777777" w:rsidR="005F2049" w:rsidRPr="00C36B3E" w:rsidRDefault="005F2049" w:rsidP="000A2031">
            <w:pPr>
              <w:rPr>
                <w:rFonts w:eastAsia="Arial"/>
                <w:b/>
                <w:bCs/>
              </w:rPr>
            </w:pPr>
            <w:r w:rsidRPr="00C36B3E">
              <w:rPr>
                <w:rFonts w:eastAsia="Arial"/>
                <w:b/>
                <w:bCs/>
              </w:rPr>
              <w:lastRenderedPageBreak/>
              <w:t>1.6</w:t>
            </w:r>
          </w:p>
        </w:tc>
        <w:tc>
          <w:tcPr>
            <w:tcW w:w="3899" w:type="dxa"/>
          </w:tcPr>
          <w:p w14:paraId="41F32942" w14:textId="77777777" w:rsidR="005F2049" w:rsidRPr="00C36B3E" w:rsidRDefault="005F2049" w:rsidP="000A2031">
            <w:pPr>
              <w:rPr>
                <w:b/>
                <w:bCs/>
                <w:lang w:eastAsia="lt-LT"/>
              </w:rPr>
            </w:pPr>
            <w:r w:rsidRPr="00C36B3E">
              <w:rPr>
                <w:b/>
                <w:bCs/>
                <w:lang w:eastAsia="lt-LT"/>
              </w:rPr>
              <w:t xml:space="preserve">Teikiama kompensuoti terapinė indikacija </w:t>
            </w:r>
          </w:p>
          <w:p w14:paraId="2882A5BD" w14:textId="77777777" w:rsidR="005F2049" w:rsidRPr="00C36B3E" w:rsidRDefault="005F2049" w:rsidP="000A2031">
            <w:pPr>
              <w:rPr>
                <w:b/>
                <w:bCs/>
                <w:lang w:eastAsia="lt-LT"/>
              </w:rPr>
            </w:pPr>
          </w:p>
          <w:p w14:paraId="0872AB5B" w14:textId="77777777" w:rsidR="00672934" w:rsidRPr="00C36B3E" w:rsidRDefault="00672934" w:rsidP="000A2031">
            <w:pPr>
              <w:rPr>
                <w:b/>
                <w:bCs/>
                <w:lang w:eastAsia="lt-LT"/>
              </w:rPr>
            </w:pPr>
          </w:p>
          <w:p w14:paraId="3BD1F989" w14:textId="77777777" w:rsidR="00672934" w:rsidRPr="00C36B3E" w:rsidRDefault="00672934" w:rsidP="000A2031">
            <w:pPr>
              <w:rPr>
                <w:b/>
                <w:bCs/>
                <w:lang w:eastAsia="lt-LT"/>
              </w:rPr>
            </w:pPr>
          </w:p>
          <w:p w14:paraId="2FB7C0B2" w14:textId="77777777" w:rsidR="00672934" w:rsidRPr="00C36B3E" w:rsidRDefault="00672934" w:rsidP="000A2031">
            <w:pPr>
              <w:rPr>
                <w:b/>
                <w:bCs/>
                <w:lang w:eastAsia="lt-LT"/>
              </w:rPr>
            </w:pPr>
          </w:p>
          <w:p w14:paraId="365740AF" w14:textId="77777777" w:rsidR="00672934" w:rsidRPr="00C36B3E" w:rsidRDefault="00672934" w:rsidP="000A2031">
            <w:pPr>
              <w:rPr>
                <w:b/>
                <w:bCs/>
                <w:lang w:eastAsia="lt-LT"/>
              </w:rPr>
            </w:pPr>
          </w:p>
          <w:p w14:paraId="195AC143" w14:textId="77777777" w:rsidR="00672934" w:rsidRPr="00C36B3E" w:rsidRDefault="00672934" w:rsidP="000A2031">
            <w:pPr>
              <w:rPr>
                <w:b/>
                <w:bCs/>
                <w:lang w:eastAsia="lt-LT"/>
              </w:rPr>
            </w:pPr>
          </w:p>
          <w:p w14:paraId="371D188E" w14:textId="77777777" w:rsidR="005F2049" w:rsidRPr="00C36B3E" w:rsidRDefault="005F2049" w:rsidP="000A2031">
            <w:pPr>
              <w:rPr>
                <w:b/>
                <w:bCs/>
                <w:lang w:eastAsia="lt-LT"/>
              </w:rPr>
            </w:pPr>
            <w:r w:rsidRPr="00C36B3E">
              <w:rPr>
                <w:b/>
                <w:bCs/>
                <w:lang w:eastAsia="lt-LT"/>
              </w:rPr>
              <w:t>Kodas pagal TLK-10 AM</w:t>
            </w:r>
          </w:p>
        </w:tc>
        <w:tc>
          <w:tcPr>
            <w:tcW w:w="4962" w:type="dxa"/>
          </w:tcPr>
          <w:p w14:paraId="5525A0E0" w14:textId="77777777" w:rsidR="00957EA1" w:rsidRPr="00C36B3E" w:rsidRDefault="00957EA1" w:rsidP="00957EA1">
            <w:pPr>
              <w:jc w:val="both"/>
            </w:pPr>
            <w:r w:rsidRPr="00C36B3E">
              <w:t>Leqembi skirtas gydyti suaugusius pacientus, kuriems kliniškai diagnozuotas lengvas kognityvinis sutrikimas ir lengva demencija dėl Alzheimerio ligos (ankstyvoji Alzheimerio liga), kurie nėra apolipoproteino ε4 (ApoE4) nešiotojai arba yra heterozigotai su patvirtinta amiloido patologija</w:t>
            </w:r>
          </w:p>
          <w:p w14:paraId="1F99A597" w14:textId="77777777" w:rsidR="00957EA1" w:rsidRPr="00C36B3E" w:rsidRDefault="00957EA1" w:rsidP="00957EA1">
            <w:pPr>
              <w:jc w:val="both"/>
            </w:pPr>
          </w:p>
          <w:p w14:paraId="13050F93" w14:textId="77777777" w:rsidR="00957EA1" w:rsidRPr="00C36B3E" w:rsidRDefault="00957EA1" w:rsidP="00957EA1">
            <w:pPr>
              <w:jc w:val="both"/>
            </w:pPr>
            <w:r w:rsidRPr="00C36B3E">
              <w:t>F00 – Demencija sergant Alzheimerio liga</w:t>
            </w:r>
          </w:p>
          <w:p w14:paraId="4433330C" w14:textId="77777777" w:rsidR="00957EA1" w:rsidRPr="00C36B3E" w:rsidRDefault="00957EA1" w:rsidP="00957EA1">
            <w:pPr>
              <w:jc w:val="both"/>
            </w:pPr>
            <w:r w:rsidRPr="00C36B3E">
              <w:t>G30 – Alzheimerio liga</w:t>
            </w:r>
          </w:p>
          <w:p w14:paraId="7C129D5E" w14:textId="77777777" w:rsidR="005F2049" w:rsidRPr="00C36B3E" w:rsidRDefault="005F2049" w:rsidP="000A2031"/>
        </w:tc>
      </w:tr>
      <w:tr w:rsidR="001D4EC9" w:rsidRPr="00C36B3E" w14:paraId="01C3C4F5" w14:textId="77777777" w:rsidTr="005F2049">
        <w:trPr>
          <w:trHeight w:val="378"/>
        </w:trPr>
        <w:tc>
          <w:tcPr>
            <w:tcW w:w="632" w:type="dxa"/>
          </w:tcPr>
          <w:p w14:paraId="5115AFC1" w14:textId="77777777" w:rsidR="001D4EC9" w:rsidRPr="00C36B3E" w:rsidRDefault="001D4EC9" w:rsidP="001D4EC9">
            <w:pPr>
              <w:rPr>
                <w:rFonts w:eastAsia="Arial"/>
                <w:b/>
                <w:bCs/>
              </w:rPr>
            </w:pPr>
            <w:r w:rsidRPr="00C36B3E">
              <w:rPr>
                <w:rFonts w:eastAsia="Arial"/>
                <w:b/>
                <w:bCs/>
              </w:rPr>
              <w:t>1.7</w:t>
            </w:r>
          </w:p>
        </w:tc>
        <w:tc>
          <w:tcPr>
            <w:tcW w:w="3899" w:type="dxa"/>
          </w:tcPr>
          <w:p w14:paraId="48045B5A" w14:textId="77777777" w:rsidR="001D4EC9" w:rsidRPr="00C36B3E" w:rsidRDefault="001D4EC9" w:rsidP="001D4EC9">
            <w:pPr>
              <w:rPr>
                <w:b/>
                <w:bCs/>
                <w:u w:val="single"/>
                <w:lang w:eastAsia="lt-LT"/>
              </w:rPr>
            </w:pPr>
            <w:r w:rsidRPr="00C36B3E">
              <w:rPr>
                <w:b/>
                <w:bCs/>
                <w:lang w:eastAsia="lt-LT"/>
              </w:rPr>
              <w:t xml:space="preserve">Teikiamos skyrimo sąlygos </w:t>
            </w:r>
          </w:p>
        </w:tc>
        <w:tc>
          <w:tcPr>
            <w:tcW w:w="4962" w:type="dxa"/>
          </w:tcPr>
          <w:p w14:paraId="74A4C0BB" w14:textId="77777777" w:rsidR="001D4EC9" w:rsidRPr="00C36B3E" w:rsidRDefault="001D4EC9" w:rsidP="001D4EC9">
            <w:pPr>
              <w:jc w:val="both"/>
            </w:pPr>
            <w:r w:rsidRPr="00C36B3E">
              <w:t>Neteikiama</w:t>
            </w:r>
          </w:p>
          <w:p w14:paraId="4838AF9D" w14:textId="77777777" w:rsidR="001D4EC9" w:rsidRPr="00C36B3E" w:rsidRDefault="001D4EC9" w:rsidP="001D4EC9"/>
        </w:tc>
      </w:tr>
      <w:tr w:rsidR="001D4EC9" w:rsidRPr="00C36B3E" w14:paraId="3C32C984" w14:textId="77777777" w:rsidTr="005F2049">
        <w:trPr>
          <w:trHeight w:val="378"/>
        </w:trPr>
        <w:tc>
          <w:tcPr>
            <w:tcW w:w="632" w:type="dxa"/>
          </w:tcPr>
          <w:p w14:paraId="4E679EDB" w14:textId="77777777" w:rsidR="001D4EC9" w:rsidRPr="00C36B3E" w:rsidRDefault="001D4EC9" w:rsidP="001D4EC9">
            <w:pPr>
              <w:rPr>
                <w:rFonts w:eastAsia="Arial"/>
                <w:b/>
                <w:bCs/>
              </w:rPr>
            </w:pPr>
            <w:r w:rsidRPr="00C36B3E">
              <w:rPr>
                <w:rFonts w:eastAsia="Arial"/>
                <w:b/>
                <w:bCs/>
              </w:rPr>
              <w:t>1.8</w:t>
            </w:r>
          </w:p>
        </w:tc>
        <w:tc>
          <w:tcPr>
            <w:tcW w:w="3899" w:type="dxa"/>
          </w:tcPr>
          <w:p w14:paraId="784605B5" w14:textId="3A924C79" w:rsidR="001D4EC9" w:rsidRPr="00C36B3E" w:rsidRDefault="001D4EC9" w:rsidP="001D4EC9">
            <w:pPr>
              <w:rPr>
                <w:b/>
                <w:bCs/>
                <w:lang w:eastAsia="lt-LT"/>
              </w:rPr>
            </w:pPr>
            <w:r w:rsidRPr="00C36B3E">
              <w:rPr>
                <w:b/>
                <w:bCs/>
                <w:lang w:eastAsia="lt-LT"/>
              </w:rPr>
              <w:t>Ekonominė analizė</w:t>
            </w:r>
          </w:p>
        </w:tc>
        <w:tc>
          <w:tcPr>
            <w:tcW w:w="4962" w:type="dxa"/>
          </w:tcPr>
          <w:p w14:paraId="6F82C828" w14:textId="77777777" w:rsidR="001D4EC9" w:rsidRPr="00C36B3E" w:rsidRDefault="00C87688" w:rsidP="001D4EC9">
            <w:pPr>
              <w:jc w:val="both"/>
            </w:pPr>
            <w:sdt>
              <w:sdtPr>
                <w:rPr>
                  <w:rStyle w:val="Style2"/>
                  <w:sz w:val="24"/>
                </w:rPr>
                <w:id w:val="356323367"/>
                <w15:color w:val="FFCC00"/>
                <w14:checkbox>
                  <w14:checked w14:val="1"/>
                  <w14:checkedState w14:val="2612" w14:font="MS Gothic"/>
                  <w14:uncheckedState w14:val="2610" w14:font="MS Gothic"/>
                </w14:checkbox>
              </w:sdtPr>
              <w:sdtEndPr>
                <w:rPr>
                  <w:rStyle w:val="Style2"/>
                </w:rPr>
              </w:sdtEndPr>
              <w:sdtContent>
                <w:r w:rsidR="001D4EC9" w:rsidRPr="00C36B3E">
                  <w:rPr>
                    <w:rStyle w:val="Style2"/>
                    <w:rFonts w:ascii="MS Gothic" w:eastAsia="MS Gothic" w:hAnsi="MS Gothic"/>
                    <w:sz w:val="24"/>
                  </w:rPr>
                  <w:t>☒</w:t>
                </w:r>
              </w:sdtContent>
            </w:sdt>
            <w:r w:rsidR="001D4EC9" w:rsidRPr="00C36B3E">
              <w:t xml:space="preserve"> Kaštų naudingumo analizė</w:t>
            </w:r>
          </w:p>
          <w:p w14:paraId="07459B0C" w14:textId="77777777" w:rsidR="001D4EC9" w:rsidRPr="00C36B3E" w:rsidRDefault="00C87688" w:rsidP="001D4EC9">
            <w:pPr>
              <w:jc w:val="both"/>
            </w:pPr>
            <w:sdt>
              <w:sdtPr>
                <w:rPr>
                  <w:rStyle w:val="Style2"/>
                  <w:sz w:val="24"/>
                </w:rPr>
                <w:id w:val="-250506580"/>
                <w15:color w:val="FFCC00"/>
                <w14:checkbox>
                  <w14:checked w14:val="0"/>
                  <w14:checkedState w14:val="2612" w14:font="MS Gothic"/>
                  <w14:uncheckedState w14:val="2610" w14:font="MS Gothic"/>
                </w14:checkbox>
              </w:sdtPr>
              <w:sdtEndPr>
                <w:rPr>
                  <w:rStyle w:val="Style2"/>
                </w:rPr>
              </w:sdtEndPr>
              <w:sdtContent>
                <w:r w:rsidR="001D4EC9" w:rsidRPr="00C36B3E">
                  <w:rPr>
                    <w:rStyle w:val="Style2"/>
                    <w:rFonts w:ascii="Segoe UI Symbol" w:eastAsia="MS Gothic" w:hAnsi="Segoe UI Symbol" w:cs="Segoe UI Symbol"/>
                    <w:sz w:val="24"/>
                  </w:rPr>
                  <w:t>☐</w:t>
                </w:r>
              </w:sdtContent>
            </w:sdt>
            <w:r w:rsidR="001D4EC9" w:rsidRPr="00C36B3E">
              <w:t xml:space="preserve"> Kaštų mažinimo analizė</w:t>
            </w:r>
          </w:p>
          <w:p w14:paraId="1459E039" w14:textId="77777777" w:rsidR="001D4EC9" w:rsidRPr="00C36B3E" w:rsidRDefault="00C87688" w:rsidP="001D4EC9">
            <w:pPr>
              <w:jc w:val="both"/>
            </w:pPr>
            <w:sdt>
              <w:sdtPr>
                <w:rPr>
                  <w:rStyle w:val="Style2"/>
                  <w:sz w:val="24"/>
                </w:rPr>
                <w:id w:val="-1517455044"/>
                <w15:color w:val="FFCC00"/>
                <w14:checkbox>
                  <w14:checked w14:val="0"/>
                  <w14:checkedState w14:val="2612" w14:font="MS Gothic"/>
                  <w14:uncheckedState w14:val="2610" w14:font="MS Gothic"/>
                </w14:checkbox>
              </w:sdtPr>
              <w:sdtEndPr>
                <w:rPr>
                  <w:rStyle w:val="Style2"/>
                </w:rPr>
              </w:sdtEndPr>
              <w:sdtContent>
                <w:r w:rsidR="001D4EC9" w:rsidRPr="00C36B3E">
                  <w:rPr>
                    <w:rStyle w:val="Style2"/>
                    <w:rFonts w:ascii="Segoe UI Symbol" w:eastAsia="MS Gothic" w:hAnsi="Segoe UI Symbol" w:cs="Segoe UI Symbol"/>
                    <w:sz w:val="24"/>
                  </w:rPr>
                  <w:t>☐</w:t>
                </w:r>
              </w:sdtContent>
            </w:sdt>
            <w:r w:rsidR="001D4EC9" w:rsidRPr="00C36B3E">
              <w:t xml:space="preserve"> Neteikiama</w:t>
            </w:r>
          </w:p>
          <w:p w14:paraId="6EA0FA25" w14:textId="77777777" w:rsidR="001D4EC9" w:rsidRPr="00C36B3E" w:rsidRDefault="001D4EC9" w:rsidP="001D4EC9">
            <w:pPr>
              <w:rPr>
                <w:rStyle w:val="Style2"/>
                <w:sz w:val="24"/>
              </w:rPr>
            </w:pPr>
          </w:p>
        </w:tc>
      </w:tr>
    </w:tbl>
    <w:p w14:paraId="2EB7FD31" w14:textId="5615B363" w:rsidR="007A2B68" w:rsidRPr="00C36B3E" w:rsidRDefault="00DC261A" w:rsidP="00063A50">
      <w:pPr>
        <w:pStyle w:val="Sraopastraipa"/>
        <w:tabs>
          <w:tab w:val="left" w:pos="426"/>
        </w:tabs>
        <w:ind w:left="0"/>
        <w:jc w:val="center"/>
        <w:rPr>
          <w:b/>
          <w:bCs/>
          <w:caps/>
        </w:rPr>
      </w:pPr>
      <w:r w:rsidRPr="00C36B3E">
        <w:rPr>
          <w:b/>
          <w:bCs/>
          <w:caps/>
        </w:rPr>
        <w:t>___________________</w:t>
      </w:r>
    </w:p>
    <w:p w14:paraId="73290081" w14:textId="77777777" w:rsidR="007A2B68" w:rsidRPr="00C36B3E" w:rsidRDefault="007A2B68">
      <w:pPr>
        <w:rPr>
          <w:b/>
          <w:bCs/>
          <w:caps/>
        </w:rPr>
      </w:pPr>
      <w:r w:rsidRPr="00C36B3E">
        <w:rPr>
          <w:b/>
          <w:bCs/>
          <w:caps/>
        </w:rPr>
        <w:br w:type="page"/>
      </w:r>
    </w:p>
    <w:p w14:paraId="5055E8A8" w14:textId="1E818168" w:rsidR="002E6F80" w:rsidRPr="00C36B3E" w:rsidRDefault="00CC7832" w:rsidP="00CC09D4">
      <w:pPr>
        <w:pStyle w:val="Sraopastraipa"/>
        <w:numPr>
          <w:ilvl w:val="0"/>
          <w:numId w:val="12"/>
        </w:numPr>
        <w:tabs>
          <w:tab w:val="left" w:pos="567"/>
        </w:tabs>
        <w:ind w:hanging="720"/>
        <w:rPr>
          <w:b/>
          <w:bCs/>
          <w:caps/>
        </w:rPr>
      </w:pPr>
      <w:r w:rsidRPr="00C36B3E">
        <w:rPr>
          <w:b/>
          <w:bCs/>
          <w:caps/>
        </w:rPr>
        <w:lastRenderedPageBreak/>
        <w:t>Klinikinio vertinimo a</w:t>
      </w:r>
      <w:r w:rsidR="00D4485B" w:rsidRPr="00C36B3E">
        <w:rPr>
          <w:b/>
          <w:bCs/>
          <w:caps/>
        </w:rPr>
        <w:t>pibendrinimas</w:t>
      </w:r>
    </w:p>
    <w:p w14:paraId="25F89291" w14:textId="5C45C8FC" w:rsidR="00D4485B" w:rsidRPr="00C36B3E" w:rsidRDefault="00D4485B" w:rsidP="00A93AA6">
      <w:pPr>
        <w:pStyle w:val="Sraopastraipa"/>
        <w:tabs>
          <w:tab w:val="left" w:pos="426"/>
        </w:tabs>
        <w:ind w:left="0"/>
        <w:rPr>
          <w:b/>
          <w:bCs/>
          <w:caps/>
        </w:rPr>
      </w:pPr>
    </w:p>
    <w:p w14:paraId="30F4576F" w14:textId="2EA10312" w:rsidR="00CF41E6" w:rsidRPr="00C36B3E" w:rsidRDefault="00CF41E6" w:rsidP="00CF41E6">
      <w:pPr>
        <w:tabs>
          <w:tab w:val="left" w:pos="426"/>
        </w:tabs>
        <w:spacing w:line="276" w:lineRule="auto"/>
        <w:jc w:val="both"/>
        <w:rPr>
          <w:rFonts w:eastAsia="Arial"/>
          <w:iCs/>
        </w:rPr>
      </w:pPr>
      <w:r w:rsidRPr="00C36B3E">
        <w:rPr>
          <w:rFonts w:eastAsia="Arial"/>
          <w:iCs/>
        </w:rPr>
        <w:t xml:space="preserve">Alzheimerio liga </w:t>
      </w:r>
      <w:r w:rsidR="002411ED" w:rsidRPr="00C36B3E">
        <w:rPr>
          <w:rFonts w:eastAsia="Arial"/>
          <w:iCs/>
        </w:rPr>
        <w:t xml:space="preserve">(AL) </w:t>
      </w:r>
      <w:r w:rsidRPr="00C36B3E">
        <w:rPr>
          <w:rFonts w:eastAsia="Arial"/>
          <w:iCs/>
        </w:rPr>
        <w:t>yra progresuojanti neurodegeneracinė liga, kuriai būdingas progresuojantis atminties praradimas, kognityvinis nuosmukis ir elgesio pokyčiai, kurie daro didelę įtaką sergančiųjų, jų globėjų ir šeimų gyvenimo kokybei. Ankstyvas Alzheimerio ligos pradžios įvykis yra β-amiloidinių plokštelių kaupimasis smegenyse, dėl kurio atsiranda būdingų smegenų pokyčių kaskados, kurių pasekmėje atsiranda neuronų disfunkcija ir ląstelių atrofija.</w:t>
      </w:r>
    </w:p>
    <w:p w14:paraId="28CB0F39" w14:textId="77777777" w:rsidR="00CF41E6" w:rsidRPr="00C36B3E" w:rsidRDefault="00CF41E6" w:rsidP="00CF41E6">
      <w:pPr>
        <w:tabs>
          <w:tab w:val="left" w:pos="426"/>
        </w:tabs>
        <w:spacing w:line="276" w:lineRule="auto"/>
        <w:jc w:val="both"/>
        <w:rPr>
          <w:rFonts w:eastAsia="Arial"/>
          <w:iCs/>
        </w:rPr>
      </w:pPr>
      <w:r w:rsidRPr="00C36B3E">
        <w:rPr>
          <w:rFonts w:eastAsia="Arial"/>
          <w:iCs/>
        </w:rPr>
        <w:t>Sergantys asmenys patiria progresuojančius atminties, bendravimo, regos ir erdvinio suvokimo gebėjimų, samprotavimo ar problemų sprendimo, sudėtingų užduočių atlikimo, organizacinių, koordinacijos ir motorinių funkcijų sunkumus, taip pat asmenybės pokyčius, depresiją, nerimą, apatiją ir sujaudinimą.</w:t>
      </w:r>
    </w:p>
    <w:p w14:paraId="1113C5A4" w14:textId="77777777" w:rsidR="00CF41E6" w:rsidRPr="00C36B3E" w:rsidRDefault="00CF41E6" w:rsidP="00CF41E6">
      <w:pPr>
        <w:tabs>
          <w:tab w:val="left" w:pos="426"/>
        </w:tabs>
        <w:spacing w:line="276" w:lineRule="auto"/>
        <w:jc w:val="both"/>
        <w:rPr>
          <w:rFonts w:eastAsia="Arial"/>
          <w:iCs/>
        </w:rPr>
      </w:pPr>
      <w:r w:rsidRPr="00C36B3E">
        <w:rPr>
          <w:rFonts w:eastAsia="Arial"/>
          <w:iCs/>
        </w:rPr>
        <w:tab/>
        <w:t>Šiuo metu remiantis Europos gairėmis išskiriamos kelios AL stadijos:</w:t>
      </w:r>
    </w:p>
    <w:p w14:paraId="3E91E671" w14:textId="77777777" w:rsidR="00CF41E6" w:rsidRPr="00C36B3E" w:rsidRDefault="00CF41E6" w:rsidP="00CF41E6">
      <w:pPr>
        <w:numPr>
          <w:ilvl w:val="0"/>
          <w:numId w:val="15"/>
        </w:numPr>
        <w:tabs>
          <w:tab w:val="left" w:pos="426"/>
        </w:tabs>
        <w:spacing w:line="276" w:lineRule="auto"/>
        <w:contextualSpacing/>
        <w:jc w:val="both"/>
        <w:rPr>
          <w:rFonts w:eastAsia="Arial"/>
          <w:iCs/>
        </w:rPr>
      </w:pPr>
      <w:r w:rsidRPr="00C36B3E">
        <w:rPr>
          <w:rFonts w:eastAsia="Arial"/>
          <w:iCs/>
        </w:rPr>
        <w:t>Subjektyvinis pažinimo funkcijų blogėjimas (angl. SCD)</w:t>
      </w:r>
    </w:p>
    <w:p w14:paraId="7E4249EC" w14:textId="77777777" w:rsidR="00CF41E6" w:rsidRPr="00C36B3E" w:rsidRDefault="00CF41E6" w:rsidP="00CF41E6">
      <w:pPr>
        <w:numPr>
          <w:ilvl w:val="0"/>
          <w:numId w:val="15"/>
        </w:numPr>
        <w:tabs>
          <w:tab w:val="left" w:pos="426"/>
        </w:tabs>
        <w:spacing w:line="276" w:lineRule="auto"/>
        <w:contextualSpacing/>
        <w:jc w:val="both"/>
        <w:rPr>
          <w:rFonts w:eastAsia="Arial"/>
          <w:iCs/>
        </w:rPr>
      </w:pPr>
      <w:r w:rsidRPr="00C36B3E">
        <w:rPr>
          <w:rFonts w:eastAsia="Arial"/>
          <w:iCs/>
        </w:rPr>
        <w:t>Lengvas kognityvinis sutrikimas dėl Alzheimerio ligos (angl. MCI, prodrominė AL)</w:t>
      </w:r>
    </w:p>
    <w:p w14:paraId="501AF0DF" w14:textId="77777777" w:rsidR="00CF41E6" w:rsidRPr="00C36B3E" w:rsidRDefault="00CF41E6" w:rsidP="00CF41E6">
      <w:pPr>
        <w:numPr>
          <w:ilvl w:val="0"/>
          <w:numId w:val="15"/>
        </w:numPr>
        <w:tabs>
          <w:tab w:val="left" w:pos="426"/>
        </w:tabs>
        <w:spacing w:line="276" w:lineRule="auto"/>
        <w:contextualSpacing/>
        <w:jc w:val="both"/>
        <w:rPr>
          <w:rFonts w:eastAsia="Arial"/>
          <w:iCs/>
        </w:rPr>
      </w:pPr>
      <w:r w:rsidRPr="00C36B3E">
        <w:rPr>
          <w:rFonts w:eastAsia="Arial"/>
          <w:iCs/>
        </w:rPr>
        <w:t>Alzheimerio demencija</w:t>
      </w:r>
    </w:p>
    <w:p w14:paraId="34978AE1" w14:textId="77777777" w:rsidR="00CF41E6" w:rsidRPr="00C36B3E" w:rsidRDefault="00CF41E6" w:rsidP="00CF41E6">
      <w:pPr>
        <w:numPr>
          <w:ilvl w:val="1"/>
          <w:numId w:val="15"/>
        </w:numPr>
        <w:tabs>
          <w:tab w:val="left" w:pos="426"/>
        </w:tabs>
        <w:spacing w:line="276" w:lineRule="auto"/>
        <w:contextualSpacing/>
        <w:jc w:val="both"/>
        <w:rPr>
          <w:rFonts w:eastAsia="Arial"/>
          <w:iCs/>
        </w:rPr>
      </w:pPr>
      <w:r w:rsidRPr="00C36B3E">
        <w:rPr>
          <w:rFonts w:eastAsia="Arial"/>
          <w:iCs/>
        </w:rPr>
        <w:t>Lengva</w:t>
      </w:r>
    </w:p>
    <w:p w14:paraId="34B7BAD9" w14:textId="77777777" w:rsidR="00CF41E6" w:rsidRPr="00C36B3E" w:rsidRDefault="00CF41E6" w:rsidP="00CF41E6">
      <w:pPr>
        <w:numPr>
          <w:ilvl w:val="1"/>
          <w:numId w:val="15"/>
        </w:numPr>
        <w:tabs>
          <w:tab w:val="left" w:pos="426"/>
        </w:tabs>
        <w:spacing w:line="276" w:lineRule="auto"/>
        <w:contextualSpacing/>
        <w:jc w:val="both"/>
        <w:rPr>
          <w:rFonts w:eastAsia="Arial"/>
          <w:iCs/>
        </w:rPr>
      </w:pPr>
      <w:r w:rsidRPr="00C36B3E">
        <w:rPr>
          <w:rFonts w:eastAsia="Arial"/>
          <w:iCs/>
        </w:rPr>
        <w:t xml:space="preserve">Vidutinė </w:t>
      </w:r>
    </w:p>
    <w:p w14:paraId="0787D9E6" w14:textId="77777777" w:rsidR="00CF41E6" w:rsidRPr="00C36B3E" w:rsidRDefault="00CF41E6" w:rsidP="00CF41E6">
      <w:pPr>
        <w:numPr>
          <w:ilvl w:val="1"/>
          <w:numId w:val="15"/>
        </w:numPr>
        <w:tabs>
          <w:tab w:val="left" w:pos="426"/>
        </w:tabs>
        <w:spacing w:line="276" w:lineRule="auto"/>
        <w:contextualSpacing/>
        <w:jc w:val="both"/>
        <w:rPr>
          <w:rFonts w:eastAsia="Arial"/>
          <w:iCs/>
        </w:rPr>
      </w:pPr>
      <w:r w:rsidRPr="00C36B3E">
        <w:rPr>
          <w:rFonts w:eastAsia="Arial"/>
          <w:iCs/>
        </w:rPr>
        <w:t>Sunki</w:t>
      </w:r>
    </w:p>
    <w:p w14:paraId="01BEEF7A" w14:textId="314F029D" w:rsidR="00CF41E6" w:rsidRPr="00C36B3E" w:rsidRDefault="00CF41E6" w:rsidP="00CF41E6">
      <w:pPr>
        <w:tabs>
          <w:tab w:val="left" w:pos="426"/>
        </w:tabs>
        <w:spacing w:line="276" w:lineRule="auto"/>
        <w:jc w:val="both"/>
        <w:rPr>
          <w:rFonts w:eastAsia="Arial"/>
          <w:iCs/>
        </w:rPr>
      </w:pPr>
      <w:r w:rsidRPr="00C36B3E">
        <w:rPr>
          <w:rFonts w:eastAsia="Arial"/>
          <w:iCs/>
        </w:rPr>
        <w:tab/>
        <w:t>Ankstyvosiose Alzheimerio ligos stadijose sunku diagnozuoti ligą remiantis vien klinikiniu įvertinimu, todėl yra didelė vėlyvos ir klaidingos diagnozės tikimybė. Nustatyta, kad vaizdinių tyrimų (pvz., pozitronų emisijos tomografijos [PET]) ir smegenų skysčio biožymenų, skirtų Alzheimerio ligai, plėtra pagerina diagnostinį pasitikėjimą ir taip padeda nustatyti asmenis, kuriems gali būti naudinga ankstyva intervencija. Amiloidinis PET rodo regioninį β-amiloidinių plokštelių pasiskirstymą smegenyse ir gali diagnozuoti Alzheimerio ligą labai jautriai ir specifiškai. Pranešta, kad amiloidinio PET naudojimas ankstyvosiose Alzheimerio ligos stadijose yra susijęs su geresniu diagnostiniu pasitikėjimu ir gali lemti teigiamus ligos valdymo pokyčius. Naudojant smegenų skysčio biožymenis, nustatytas didelis atitikimas tarp amiloido beta (Aβ) Aβ42/Aβ40 santykio sumažėjimo ir Aβ vizualizavimo PET tyrimu, o tai suteikia dar vieną būdą diagnozuoti pacientus, sergančius Aβ patologija. Kraujo biožymenų tyrimai taip pat yra besivystanti Alzheimerio ligos diagnostikos sritis.</w:t>
      </w:r>
    </w:p>
    <w:p w14:paraId="14F5C129" w14:textId="77777777" w:rsidR="00CF41E6" w:rsidRPr="00C36B3E" w:rsidRDefault="00CF41E6" w:rsidP="00CF41E6">
      <w:pPr>
        <w:tabs>
          <w:tab w:val="left" w:pos="426"/>
        </w:tabs>
        <w:spacing w:line="276" w:lineRule="auto"/>
        <w:jc w:val="both"/>
        <w:rPr>
          <w:rFonts w:eastAsia="Arial"/>
        </w:rPr>
      </w:pPr>
      <w:r w:rsidRPr="00C36B3E">
        <w:rPr>
          <w:rFonts w:eastAsia="Arial"/>
          <w:iCs/>
        </w:rPr>
        <w:tab/>
      </w:r>
      <w:r w:rsidRPr="00C36B3E">
        <w:rPr>
          <w:rFonts w:eastAsia="Arial"/>
        </w:rPr>
        <w:t>Lekanemabas yra IgG1 monokloninis antikūnas, nukreiptas prieš agreguotas tirpias ir netirpias beta amiloido formas ir mažinantis beta amiloido plokšteles.</w:t>
      </w:r>
      <w:r w:rsidRPr="00C36B3E">
        <w:rPr>
          <w:szCs w:val="20"/>
        </w:rPr>
        <w:t xml:space="preserve"> </w:t>
      </w:r>
      <w:r w:rsidRPr="00C36B3E">
        <w:rPr>
          <w:rFonts w:eastAsia="Arial"/>
        </w:rPr>
        <w:t>Lekanemabas mažina amiloido beta plokštelių kiekį priklausomai nuo laiko, palyginti su placebu. Lekanemabo poveikis amiloido beta plokštelių kiekiui smegenyse buvo įvertintas naudojant PET vaizdinimo vizualinį rodmenį ir kiekybiškai įvertintas taikant standartinio įsisavinimo vertės santykio (SĮVS) metodą ir „Centiloid“ skalę.</w:t>
      </w:r>
    </w:p>
    <w:p w14:paraId="4840BA7E" w14:textId="00C3FF5F" w:rsidR="00672934" w:rsidRPr="00C36B3E" w:rsidRDefault="002411ED" w:rsidP="00CF41E6">
      <w:pPr>
        <w:tabs>
          <w:tab w:val="left" w:pos="426"/>
        </w:tabs>
        <w:spacing w:line="276" w:lineRule="auto"/>
        <w:jc w:val="both"/>
        <w:rPr>
          <w:rFonts w:eastAsia="Arial"/>
          <w:iCs/>
        </w:rPr>
      </w:pPr>
      <w:r w:rsidRPr="00C36B3E">
        <w:rPr>
          <w:rFonts w:eastAsia="Arial"/>
          <w:iCs/>
        </w:rPr>
        <w:tab/>
      </w:r>
      <w:r w:rsidR="00CF41E6" w:rsidRPr="00C36B3E">
        <w:rPr>
          <w:rFonts w:eastAsia="Arial"/>
          <w:iCs/>
        </w:rPr>
        <w:t xml:space="preserve">Šiuo metu Lietuvoje yra taikomas tik simptominis AL gydymas, kuris reglamentuojamas </w:t>
      </w:r>
      <w:r w:rsidR="00EB216A" w:rsidRPr="00C36B3E">
        <w:rPr>
          <w:rFonts w:eastAsia="Arial"/>
          <w:iCs/>
        </w:rPr>
        <w:t>Lietuvos Respubliko</w:t>
      </w:r>
      <w:r w:rsidR="00D5353E" w:rsidRPr="00C36B3E">
        <w:rPr>
          <w:rFonts w:eastAsia="Arial"/>
          <w:iCs/>
        </w:rPr>
        <w:t>s</w:t>
      </w:r>
      <w:r w:rsidR="00EB216A" w:rsidRPr="00C36B3E">
        <w:rPr>
          <w:rFonts w:eastAsia="Arial"/>
          <w:iCs/>
        </w:rPr>
        <w:t xml:space="preserve"> </w:t>
      </w:r>
      <w:r w:rsidR="00CF41E6" w:rsidRPr="00C36B3E">
        <w:rPr>
          <w:rFonts w:eastAsia="Arial"/>
          <w:iCs/>
        </w:rPr>
        <w:t>Sveikatos apsaugos ministro</w:t>
      </w:r>
      <w:r w:rsidR="00EB216A" w:rsidRPr="00C36B3E">
        <w:rPr>
          <w:rFonts w:eastAsia="Arial"/>
          <w:iCs/>
        </w:rPr>
        <w:t xml:space="preserve"> 2000 m. liepos 4 d. </w:t>
      </w:r>
      <w:r w:rsidR="00CF41E6" w:rsidRPr="00C36B3E">
        <w:rPr>
          <w:rFonts w:eastAsia="Arial"/>
          <w:iCs/>
        </w:rPr>
        <w:t>įsakymu</w:t>
      </w:r>
      <w:r w:rsidR="00EB216A" w:rsidRPr="00C36B3E">
        <w:rPr>
          <w:rFonts w:eastAsia="Arial"/>
          <w:iCs/>
        </w:rPr>
        <w:t xml:space="preserve"> Nr. </w:t>
      </w:r>
      <w:r w:rsidR="00EB216A" w:rsidRPr="00C36B3E">
        <w:rPr>
          <w:iCs/>
        </w:rPr>
        <w:t>Nr. 382</w:t>
      </w:r>
      <w:r w:rsidR="00CF41E6" w:rsidRPr="00C36B3E">
        <w:rPr>
          <w:rFonts w:eastAsia="Arial"/>
          <w:iCs/>
        </w:rPr>
        <w:t xml:space="preserve"> </w:t>
      </w:r>
      <w:r w:rsidR="00672934" w:rsidRPr="00C36B3E">
        <w:rPr>
          <w:rFonts w:eastAsia="Arial"/>
          <w:iCs/>
        </w:rPr>
        <w:t>“D</w:t>
      </w:r>
      <w:r w:rsidR="00CF41E6" w:rsidRPr="00C36B3E">
        <w:rPr>
          <w:rFonts w:eastAsia="Arial"/>
          <w:iCs/>
        </w:rPr>
        <w:t>ėl Alzheimerio ligos diagnozavimo ir gydymo metodų bei Alzheimerio ligos diagnostinių kriterijų patvirtinimo</w:t>
      </w:r>
      <w:r w:rsidR="00672934" w:rsidRPr="00C36B3E">
        <w:rPr>
          <w:rFonts w:eastAsia="Arial"/>
          <w:iCs/>
        </w:rPr>
        <w:t>“</w:t>
      </w:r>
      <w:r w:rsidR="00CF41E6" w:rsidRPr="00C36B3E">
        <w:rPr>
          <w:rFonts w:eastAsia="Arial"/>
          <w:iCs/>
        </w:rPr>
        <w:t>. Lig</w:t>
      </w:r>
      <w:r w:rsidR="00672934" w:rsidRPr="00C36B3E">
        <w:rPr>
          <w:rFonts w:eastAsia="Arial"/>
          <w:iCs/>
        </w:rPr>
        <w:t>ą</w:t>
      </w:r>
      <w:r w:rsidR="00CF41E6" w:rsidRPr="00C36B3E">
        <w:rPr>
          <w:rFonts w:eastAsia="Arial"/>
          <w:iCs/>
        </w:rPr>
        <w:t xml:space="preserve"> modifikuojantis gydymas Lietuvoje netaikomas</w:t>
      </w:r>
      <w:r w:rsidR="00672934" w:rsidRPr="00C36B3E">
        <w:rPr>
          <w:rFonts w:eastAsia="Arial"/>
          <w:iCs/>
        </w:rPr>
        <w:t>,</w:t>
      </w:r>
      <w:r w:rsidR="00CF41E6" w:rsidRPr="00C36B3E">
        <w:rPr>
          <w:rFonts w:eastAsia="Arial"/>
          <w:iCs/>
        </w:rPr>
        <w:t xml:space="preserve"> </w:t>
      </w:r>
      <w:r w:rsidR="00672934" w:rsidRPr="00C36B3E">
        <w:rPr>
          <w:rFonts w:eastAsia="Arial"/>
          <w:iCs/>
        </w:rPr>
        <w:t>t</w:t>
      </w:r>
      <w:r w:rsidR="00CF41E6" w:rsidRPr="00C36B3E">
        <w:rPr>
          <w:rFonts w:eastAsia="Arial"/>
          <w:iCs/>
        </w:rPr>
        <w:t>odėl placebas laikomas tinkamu palyginamuoju gydymu.</w:t>
      </w:r>
    </w:p>
    <w:p w14:paraId="33001152" w14:textId="7EDB8544" w:rsidR="00CF41E6" w:rsidRPr="00C36B3E" w:rsidRDefault="00672934" w:rsidP="00CF41E6">
      <w:pPr>
        <w:tabs>
          <w:tab w:val="left" w:pos="426"/>
        </w:tabs>
        <w:spacing w:line="276" w:lineRule="auto"/>
        <w:jc w:val="both"/>
        <w:rPr>
          <w:rFonts w:eastAsia="Arial"/>
          <w:iCs/>
        </w:rPr>
      </w:pPr>
      <w:r w:rsidRPr="00C36B3E">
        <w:rPr>
          <w:rFonts w:eastAsia="Arial"/>
          <w:iCs/>
        </w:rPr>
        <w:tab/>
        <w:t>Jei šis vaistinis preparatas būtų įrašytas į kompensuojamųjų vaistinių preparatų sąrašą jis būtų pirmas</w:t>
      </w:r>
      <w:r w:rsidR="002411ED" w:rsidRPr="00C36B3E">
        <w:rPr>
          <w:rFonts w:eastAsia="Arial"/>
          <w:iCs/>
        </w:rPr>
        <w:t>is</w:t>
      </w:r>
      <w:r w:rsidRPr="00C36B3E">
        <w:rPr>
          <w:rFonts w:eastAsia="Arial"/>
          <w:iCs/>
        </w:rPr>
        <w:t xml:space="preserve"> ligą modifikuojantis vaist</w:t>
      </w:r>
      <w:r w:rsidR="00D67854" w:rsidRPr="00C36B3E">
        <w:rPr>
          <w:rFonts w:eastAsia="Arial"/>
          <w:iCs/>
        </w:rPr>
        <w:t>inis preparat</w:t>
      </w:r>
      <w:r w:rsidRPr="00C36B3E">
        <w:rPr>
          <w:rFonts w:eastAsia="Arial"/>
          <w:iCs/>
        </w:rPr>
        <w:t>as, skirtas Alzheimerio ligai (AL) gydyti.</w:t>
      </w:r>
    </w:p>
    <w:p w14:paraId="6EAB2ADD" w14:textId="77777777" w:rsidR="002411ED" w:rsidRPr="00C36B3E" w:rsidRDefault="002411ED" w:rsidP="00CF41E6">
      <w:pPr>
        <w:tabs>
          <w:tab w:val="left" w:pos="426"/>
        </w:tabs>
        <w:spacing w:line="276" w:lineRule="auto"/>
        <w:jc w:val="both"/>
        <w:rPr>
          <w:rFonts w:eastAsia="Arial"/>
          <w:i/>
        </w:rPr>
      </w:pPr>
    </w:p>
    <w:p w14:paraId="24A555F3" w14:textId="467AC382" w:rsidR="00CF41E6" w:rsidRPr="00C36B3E" w:rsidRDefault="00CF41E6" w:rsidP="00CF41E6">
      <w:pPr>
        <w:tabs>
          <w:tab w:val="left" w:pos="426"/>
        </w:tabs>
        <w:spacing w:line="276" w:lineRule="auto"/>
        <w:jc w:val="both"/>
        <w:rPr>
          <w:rFonts w:eastAsia="Arial"/>
          <w:i/>
        </w:rPr>
      </w:pPr>
      <w:r w:rsidRPr="00C36B3E">
        <w:rPr>
          <w:rFonts w:eastAsia="Arial"/>
          <w:i/>
        </w:rPr>
        <w:t>Tiesioginis palyginimas</w:t>
      </w:r>
    </w:p>
    <w:p w14:paraId="75DF18FA" w14:textId="2473AF7E" w:rsidR="00CF41E6" w:rsidRPr="00C36B3E" w:rsidRDefault="00CF41E6" w:rsidP="00CF41E6">
      <w:pPr>
        <w:spacing w:line="276" w:lineRule="auto"/>
        <w:jc w:val="both"/>
        <w:rPr>
          <w:rFonts w:eastAsia="Arial"/>
        </w:rPr>
      </w:pPr>
      <w:r w:rsidRPr="00C36B3E">
        <w:rPr>
          <w:rFonts w:eastAsia="Arial"/>
        </w:rPr>
        <w:tab/>
        <w:t>Lekanemabo veiksmingumas ir saugumas gydant ankstyvosios stadijos Alzheimerio ligą grin</w:t>
      </w:r>
      <w:r w:rsidR="00672934" w:rsidRPr="00C36B3E">
        <w:rPr>
          <w:rFonts w:eastAsia="Arial"/>
        </w:rPr>
        <w:t>d</w:t>
      </w:r>
      <w:r w:rsidRPr="00C36B3E">
        <w:rPr>
          <w:rFonts w:eastAsia="Arial"/>
        </w:rPr>
        <w:t>žiamas II fazės tyrimu su atvirojo tęs</w:t>
      </w:r>
      <w:r w:rsidR="00DD46C9" w:rsidRPr="00C36B3E">
        <w:rPr>
          <w:rFonts w:eastAsia="Arial"/>
        </w:rPr>
        <w:t>t</w:t>
      </w:r>
      <w:r w:rsidRPr="00C36B3E">
        <w:rPr>
          <w:rFonts w:eastAsia="Arial"/>
        </w:rPr>
        <w:t xml:space="preserve">inio </w:t>
      </w:r>
      <w:r w:rsidR="00DD46C9" w:rsidRPr="00C36B3E">
        <w:rPr>
          <w:rFonts w:eastAsia="Arial"/>
        </w:rPr>
        <w:t xml:space="preserve">tyrimo </w:t>
      </w:r>
      <w:r w:rsidRPr="00C36B3E">
        <w:rPr>
          <w:rFonts w:eastAsia="Arial"/>
        </w:rPr>
        <w:t>(</w:t>
      </w:r>
      <w:r w:rsidR="00672934" w:rsidRPr="00C36B3E">
        <w:rPr>
          <w:rFonts w:eastAsia="Arial"/>
        </w:rPr>
        <w:t xml:space="preserve">angl. Open-Label Extension, </w:t>
      </w:r>
      <w:r w:rsidRPr="00C36B3E">
        <w:rPr>
          <w:rFonts w:eastAsia="Arial"/>
        </w:rPr>
        <w:t xml:space="preserve">OLE) etapu ir </w:t>
      </w:r>
      <w:r w:rsidRPr="00C36B3E">
        <w:rPr>
          <w:rFonts w:eastAsia="Arial"/>
        </w:rPr>
        <w:lastRenderedPageBreak/>
        <w:t>viename III fazės tyrime (</w:t>
      </w:r>
      <w:r w:rsidRPr="00C36B3E">
        <w:rPr>
          <w:rFonts w:eastAsia="Arial"/>
          <w:i/>
          <w:iCs/>
        </w:rPr>
        <w:t>Clarity AD</w:t>
      </w:r>
      <w:r w:rsidRPr="00C36B3E">
        <w:rPr>
          <w:rFonts w:eastAsia="Arial"/>
        </w:rPr>
        <w:t>) su atvirojo tęs</w:t>
      </w:r>
      <w:r w:rsidR="00DD46C9" w:rsidRPr="00C36B3E">
        <w:rPr>
          <w:rFonts w:eastAsia="Arial"/>
        </w:rPr>
        <w:t>t</w:t>
      </w:r>
      <w:r w:rsidRPr="00C36B3E">
        <w:rPr>
          <w:rFonts w:eastAsia="Arial"/>
        </w:rPr>
        <w:t xml:space="preserve">inio </w:t>
      </w:r>
      <w:r w:rsidR="00DD46C9" w:rsidRPr="00C36B3E">
        <w:rPr>
          <w:rFonts w:eastAsia="Arial"/>
        </w:rPr>
        <w:t xml:space="preserve">tyrimo </w:t>
      </w:r>
      <w:r w:rsidRPr="00C36B3E">
        <w:rPr>
          <w:rFonts w:eastAsia="Arial"/>
        </w:rPr>
        <w:t xml:space="preserve">(OLE) etapu. </w:t>
      </w:r>
      <w:r w:rsidR="00672934" w:rsidRPr="00C36B3E">
        <w:rPr>
          <w:rFonts w:eastAsia="Arial"/>
        </w:rPr>
        <w:t>K</w:t>
      </w:r>
      <w:r w:rsidRPr="00C36B3E">
        <w:rPr>
          <w:rFonts w:eastAsia="Arial"/>
        </w:rPr>
        <w:t>linikinis veiksmingumas vertin</w:t>
      </w:r>
      <w:r w:rsidR="00672934" w:rsidRPr="00C36B3E">
        <w:rPr>
          <w:rFonts w:eastAsia="Arial"/>
        </w:rPr>
        <w:t>t</w:t>
      </w:r>
      <w:r w:rsidRPr="00C36B3E">
        <w:rPr>
          <w:rFonts w:eastAsia="Arial"/>
        </w:rPr>
        <w:t xml:space="preserve">as pagal III fazės tyrimo </w:t>
      </w:r>
      <w:r w:rsidRPr="00C36B3E">
        <w:rPr>
          <w:rFonts w:eastAsia="Arial"/>
          <w:i/>
          <w:iCs/>
        </w:rPr>
        <w:t>Clarity AD</w:t>
      </w:r>
      <w:r w:rsidRPr="00C36B3E">
        <w:rPr>
          <w:rFonts w:eastAsia="Arial"/>
        </w:rPr>
        <w:t>, OLE etapas buvo svarbus saugumo duomenų vertinimui.</w:t>
      </w:r>
    </w:p>
    <w:p w14:paraId="0ACE1686" w14:textId="3F2E3A5B" w:rsidR="00CF41E6" w:rsidRPr="00C36B3E" w:rsidRDefault="00CF41E6" w:rsidP="00CF41E6">
      <w:pPr>
        <w:tabs>
          <w:tab w:val="left" w:pos="426"/>
        </w:tabs>
        <w:spacing w:line="276" w:lineRule="auto"/>
        <w:jc w:val="both"/>
        <w:rPr>
          <w:rFonts w:eastAsia="Arial"/>
          <w:iCs/>
        </w:rPr>
      </w:pPr>
      <w:r w:rsidRPr="00C36B3E">
        <w:rPr>
          <w:rFonts w:eastAsia="Arial"/>
        </w:rPr>
        <w:tab/>
      </w:r>
      <w:r w:rsidRPr="00C36B3E">
        <w:rPr>
          <w:rFonts w:eastAsia="Arial"/>
          <w:iCs/>
        </w:rPr>
        <w:t>Tyrime dalyvavo 50</w:t>
      </w:r>
      <w:r w:rsidR="002411ED" w:rsidRPr="00C36B3E">
        <w:rPr>
          <w:rFonts w:eastAsia="Arial"/>
          <w:iCs/>
        </w:rPr>
        <w:t xml:space="preserve"> </w:t>
      </w:r>
      <w:r w:rsidRPr="00C36B3E">
        <w:rPr>
          <w:rFonts w:eastAsia="Arial"/>
          <w:iCs/>
        </w:rPr>
        <w:t>–</w:t>
      </w:r>
      <w:r w:rsidR="002411ED" w:rsidRPr="00C36B3E">
        <w:rPr>
          <w:rFonts w:eastAsia="Arial"/>
          <w:iCs/>
        </w:rPr>
        <w:t xml:space="preserve"> </w:t>
      </w:r>
      <w:r w:rsidRPr="00C36B3E">
        <w:rPr>
          <w:rFonts w:eastAsia="Arial"/>
          <w:iCs/>
        </w:rPr>
        <w:t>90 metų amžiaus asmenys, kuriems pagal Nacionalinio senėjimo instituto</w:t>
      </w:r>
      <w:r w:rsidR="000819A5" w:rsidRPr="00C36B3E">
        <w:rPr>
          <w:rFonts w:eastAsia="Arial"/>
          <w:iCs/>
        </w:rPr>
        <w:t xml:space="preserve"> ir Alzheimerio asociacijos</w:t>
      </w:r>
      <w:r w:rsidRPr="00C36B3E">
        <w:rPr>
          <w:rFonts w:eastAsia="Arial"/>
          <w:iCs/>
        </w:rPr>
        <w:t xml:space="preserve"> (</w:t>
      </w:r>
      <w:r w:rsidRPr="00C36B3E">
        <w:rPr>
          <w:rFonts w:eastAsia="Arial"/>
          <w:i/>
        </w:rPr>
        <w:t xml:space="preserve">angl. </w:t>
      </w:r>
      <w:r w:rsidR="000819A5" w:rsidRPr="00C36B3E">
        <w:rPr>
          <w:rFonts w:eastAsia="Arial"/>
          <w:i/>
        </w:rPr>
        <w:t xml:space="preserve">National Institute on Aging and the Alzheimer's Association </w:t>
      </w:r>
      <w:r w:rsidRPr="00C36B3E">
        <w:rPr>
          <w:rFonts w:eastAsia="Arial"/>
          <w:i/>
        </w:rPr>
        <w:t>NIA-AA</w:t>
      </w:r>
      <w:r w:rsidRPr="00C36B3E">
        <w:rPr>
          <w:rFonts w:eastAsia="Arial"/>
          <w:iCs/>
        </w:rPr>
        <w:t>) kriterijus buvo nustatytas lengvas pažinimo funkcijų sutrikimas dėl Alzheimerio ligos arba lengva demencija, susijusi su Alzheimerio liga. Tyrimo populiacija atitinka Lietuvos pacientų, sergančių lengvu kognityviniu sutrikimu ir lengva demencija dėl Alzheimerio ligos (ankstyvoji Alzheimerio liga) populiaciją. Pažymėtina, kad pacientai ne</w:t>
      </w:r>
      <w:r w:rsidR="002411ED" w:rsidRPr="00C36B3E">
        <w:rPr>
          <w:rFonts w:eastAsia="Arial"/>
          <w:iCs/>
        </w:rPr>
        <w:t>galėjo</w:t>
      </w:r>
      <w:r w:rsidRPr="00C36B3E">
        <w:rPr>
          <w:rFonts w:eastAsia="Arial"/>
          <w:iCs/>
        </w:rPr>
        <w:t xml:space="preserve"> turėti apolipoproteino E ε4 (ApoE4) arba turėjo būti heterozigotai su patvirtinta amiloido patologija. Atmetimo kriterijai neturi įtakos tyrimo rezultatų pritaikomumui Lietuvos populiacijai, o įtraukimo kriterijai atitinka vertinamą indikaciją. </w:t>
      </w:r>
    </w:p>
    <w:p w14:paraId="1F42D525" w14:textId="77777777" w:rsidR="00CF41E6" w:rsidRPr="00C36B3E" w:rsidRDefault="00CF41E6" w:rsidP="00CF41E6">
      <w:pPr>
        <w:tabs>
          <w:tab w:val="left" w:pos="426"/>
        </w:tabs>
        <w:spacing w:line="276" w:lineRule="auto"/>
        <w:jc w:val="both"/>
        <w:rPr>
          <w:rFonts w:eastAsia="Arial"/>
          <w:iCs/>
        </w:rPr>
      </w:pPr>
      <w:r w:rsidRPr="00C36B3E">
        <w:rPr>
          <w:rFonts w:eastAsia="Arial"/>
          <w:iCs/>
        </w:rPr>
        <w:tab/>
        <w:t>Pirminė ir antrinės vertinamosios baigtys yra tinkamos ir aiškiai apibrėžtos. Taikyti statistiniai metodai yra tinkami, pirminės vertinamosios baigties vertinimas laikomas tinkamu, klinikinio reikšmingumo prielaida rėmėsi Alzheimerio ligos srities literatūros duomenimis ir statistiniais principais. Pokyčiams po 18 mėn. įvertinti buvo naudojamos validuotos skalės ir biometriniai rodikliai, kurie vertinami kaip tinkami.</w:t>
      </w:r>
    </w:p>
    <w:p w14:paraId="61F7A456" w14:textId="77777777" w:rsidR="00CF41E6" w:rsidRPr="00C36B3E" w:rsidRDefault="00CF41E6" w:rsidP="00CF41E6">
      <w:pPr>
        <w:tabs>
          <w:tab w:val="left" w:pos="426"/>
        </w:tabs>
        <w:spacing w:line="276" w:lineRule="auto"/>
        <w:jc w:val="both"/>
        <w:rPr>
          <w:szCs w:val="20"/>
        </w:rPr>
      </w:pPr>
      <w:r w:rsidRPr="00C36B3E">
        <w:rPr>
          <w:rFonts w:eastAsia="Arial"/>
        </w:rPr>
        <w:tab/>
      </w:r>
      <w:r w:rsidRPr="00C36B3E">
        <w:rPr>
          <w:rFonts w:eastAsia="Arial"/>
          <w:iCs/>
        </w:rPr>
        <w:t>Veiksmingumo analizės buvo atliktos modifikuotoje ITT (</w:t>
      </w:r>
      <w:r w:rsidRPr="00C36B3E">
        <w:rPr>
          <w:rFonts w:eastAsia="Arial"/>
          <w:i/>
        </w:rPr>
        <w:t>angl. modified intention-to-treat</w:t>
      </w:r>
      <w:r w:rsidRPr="00C36B3E">
        <w:rPr>
          <w:rFonts w:eastAsia="Arial"/>
          <w:iCs/>
        </w:rPr>
        <w:t xml:space="preserve">) populiacijoje. </w:t>
      </w:r>
      <w:r w:rsidRPr="00C36B3E">
        <w:rPr>
          <w:rFonts w:eastAsia="Arial"/>
          <w:bCs/>
          <w:i/>
          <w:iCs/>
        </w:rPr>
        <w:t>Pirminės baigties rezultatai</w:t>
      </w:r>
      <w:r w:rsidRPr="00C36B3E">
        <w:rPr>
          <w:rFonts w:eastAsia="Arial"/>
          <w:bCs/>
        </w:rPr>
        <w:t xml:space="preserve"> yra vertinami tik populiacijoje, kurioje pacientai </w:t>
      </w:r>
      <w:r w:rsidRPr="00C36B3E">
        <w:rPr>
          <w:szCs w:val="20"/>
        </w:rPr>
        <w:t>nėra apolipoproteino ε4 (ApoE4) nešiotojai arba yra heterozigotai su patvirtinta amiloido patologija.</w:t>
      </w:r>
    </w:p>
    <w:p w14:paraId="74686469" w14:textId="37129F07" w:rsidR="00CF41E6" w:rsidRPr="00C36B3E" w:rsidRDefault="00CF41E6" w:rsidP="00CF41E6">
      <w:pPr>
        <w:tabs>
          <w:tab w:val="left" w:pos="426"/>
        </w:tabs>
        <w:spacing w:line="276" w:lineRule="auto"/>
        <w:jc w:val="both"/>
        <w:rPr>
          <w:rFonts w:eastAsia="Arial"/>
          <w:bCs/>
        </w:rPr>
      </w:pPr>
      <w:r w:rsidRPr="00C36B3E">
        <w:rPr>
          <w:szCs w:val="20"/>
        </w:rPr>
        <w:t xml:space="preserve">Pradinis vidutinis CDR-SB balas abiejose – lekanemabo ir placebo – grupėse buvo maždaug 3,2; šie duomenys atitinka ankstyvąją Alzheimerio ligos stadiją (balas nuo 0,5 iki 6). Pakoreguotas vidutinis CDR-SB balo pokytis nuo pradinės reikšmės po 18 mėnesių lekanemabo grupėje buvo 1,21, o placebo grupėje – 1,66 (skirtumas –0,45; 95 proc. pasikliautinasis intervalas [PI] nuo –0,67 iki –0,23; P &lt; 0,001). </w:t>
      </w:r>
      <w:r w:rsidRPr="00C36B3E">
        <w:rPr>
          <w:rFonts w:eastAsia="Arial"/>
          <w:bCs/>
        </w:rPr>
        <w:t>Bendrai, ligos progres</w:t>
      </w:r>
      <w:r w:rsidR="000819A5" w:rsidRPr="00C36B3E">
        <w:rPr>
          <w:rFonts w:eastAsia="Arial"/>
          <w:bCs/>
        </w:rPr>
        <w:t>avimo</w:t>
      </w:r>
      <w:r w:rsidRPr="00C36B3E">
        <w:rPr>
          <w:rFonts w:eastAsia="Arial"/>
          <w:bCs/>
        </w:rPr>
        <w:t xml:space="preserve"> sulėtėjimas lekanemabą vartojusių pacientų grupėje pagal CDR-SB balo pokytį buvo pastebėtas nuo 3-iojo gydymo mėnesio, palyginti su placebo grupe. </w:t>
      </w:r>
      <w:r w:rsidRPr="00C36B3E">
        <w:rPr>
          <w:rFonts w:eastAsia="Arial"/>
          <w:bCs/>
          <w:i/>
          <w:iCs/>
        </w:rPr>
        <w:t>Pagrindinės antrinės vertinamosios baigties</w:t>
      </w:r>
      <w:r w:rsidRPr="00C36B3E">
        <w:rPr>
          <w:rFonts w:eastAsia="Arial"/>
          <w:bCs/>
        </w:rPr>
        <w:t xml:space="preserve"> rezultatai remiasi amiloido apkrova PET tyrimu, kuriame dalyvavo 698 pacientai. Vidutinis amiloido kiekis tyrimo pradžioje buvo 77,92 centiloido lekanemabo grupėje ir 75,03 centiloido placebo grupėje. Koreguotas vidutinis pokytis nuo pradinės reikšmės po 18 mėnesių buvo −55,48 centiloido lekanemabo grupėje ir 3,64 centiloido placebo grupėje (skirtumas: −59,12 centiloido; 95 proc. PI: nuo −62,64 iki −55,60; P &lt; 0,001). Modifikuotoje ITT populiacijoje vidutiniai ADAS-cog14 balai pradiniu laikotarpiu buvo 24,45 lekanemabo grupėje ir 24,37 placebo grupėje. Koreguotas vidutinis ADAS-cog14 balo pokytis nuo pradinio lygio po 18 mėnesių buvo 4,14 lekanemabo grupėje ir 5,58 placebo grupėje (</w:t>
      </w:r>
      <w:r w:rsidRPr="00C36B3E">
        <w:rPr>
          <w:rFonts w:eastAsia="Arial"/>
          <w:b/>
        </w:rPr>
        <w:t>skirtumas –1,44</w:t>
      </w:r>
      <w:r w:rsidRPr="00C36B3E">
        <w:rPr>
          <w:rFonts w:eastAsia="Arial"/>
          <w:bCs/>
        </w:rPr>
        <w:t>; 95 proc. PI: nuo –2,27 iki –0,61; P &lt; 0,001). Modifikuotoje ITT populiacijoje vidutiniai ADCS-MCI-ADL balai pradiniu laikotarpiu buvo 41,2 (lekanemabo grupėje) ir 40,9 (placebo grupėje). Koreguotas vidutinis ADCS-MCI-ADL balo pokytis nuo pradinio lygio po 18 mėnesių buvo –3,5 lekanemabo grupėje ir –5,5 placebo grupėje (skirtumas 2,0; 95 proc. PI: nuo 1,2 iki 2,8; P &lt; 0,001).</w:t>
      </w:r>
    </w:p>
    <w:p w14:paraId="745E7F92" w14:textId="77777777" w:rsidR="000819A5" w:rsidRPr="00C36B3E" w:rsidRDefault="000819A5" w:rsidP="00CF41E6">
      <w:pPr>
        <w:tabs>
          <w:tab w:val="left" w:pos="492"/>
        </w:tabs>
        <w:spacing w:line="276" w:lineRule="auto"/>
        <w:jc w:val="both"/>
        <w:outlineLvl w:val="1"/>
        <w:rPr>
          <w:rFonts w:eastAsia="Arial"/>
          <w:bCs/>
          <w:i/>
          <w:iCs/>
        </w:rPr>
      </w:pPr>
    </w:p>
    <w:p w14:paraId="63E102EF" w14:textId="3CDC8EC9" w:rsidR="00CF41E6" w:rsidRPr="00C36B3E" w:rsidRDefault="00CF41E6" w:rsidP="00CF41E6">
      <w:pPr>
        <w:tabs>
          <w:tab w:val="left" w:pos="492"/>
        </w:tabs>
        <w:spacing w:line="276" w:lineRule="auto"/>
        <w:jc w:val="both"/>
        <w:outlineLvl w:val="1"/>
        <w:rPr>
          <w:rFonts w:eastAsia="Arial"/>
          <w:bCs/>
          <w:i/>
          <w:iCs/>
        </w:rPr>
      </w:pPr>
      <w:r w:rsidRPr="00C36B3E">
        <w:rPr>
          <w:rFonts w:eastAsia="Arial"/>
          <w:bCs/>
          <w:i/>
          <w:iCs/>
        </w:rPr>
        <w:t>Pacientų praneštos baigtys</w:t>
      </w:r>
    </w:p>
    <w:p w14:paraId="4A3A6F27" w14:textId="4B4FAD0E" w:rsidR="00CF41E6" w:rsidRPr="00C36B3E" w:rsidRDefault="00CF41E6" w:rsidP="00CF41E6">
      <w:pPr>
        <w:tabs>
          <w:tab w:val="left" w:pos="492"/>
        </w:tabs>
        <w:spacing w:line="276" w:lineRule="auto"/>
        <w:jc w:val="both"/>
        <w:outlineLvl w:val="1"/>
        <w:rPr>
          <w:rFonts w:eastAsia="Arial"/>
          <w:bCs/>
        </w:rPr>
      </w:pPr>
      <w:r w:rsidRPr="00C36B3E">
        <w:rPr>
          <w:rFonts w:eastAsia="Arial"/>
          <w:bCs/>
        </w:rPr>
        <w:tab/>
        <w:t xml:space="preserve">Koreguotas vidutinis EQ-5D-5L skalės „Sveikata šiandien“ (angl. Health Today) balų pokytis buvo -2,391 lekanemabo grupėje ir -4,214 placebo grupėje. Šis skirtumas buvo statistiškai reikšmingas: 1,824 skirtumą 18-ąjį mėnesį (95 % PI: 0,310; 3,337; p = 0,01821) lekanemabo naudai. Gydymas lekanemabu buvo susijęs su santykiniu pacientų vertinamos su sveikata susijusios gyvenimo kokybės (HRQoL) išsaugojimu, palyginti su placebu, ką patvirtina koreguotas vidutinis skirtumas 18-ąjį mėnesį. Paciento su AL vertinama gyvenimo kokybė pagal QOL-AD klausimyną </w:t>
      </w:r>
      <w:r w:rsidRPr="00C36B3E">
        <w:rPr>
          <w:rFonts w:eastAsia="Arial"/>
          <w:bCs/>
        </w:rPr>
        <w:lastRenderedPageBreak/>
        <w:t>taip pat pagerėjo remiantis statistinę analizę. Koreguotas vidutinis QOL-AD paciento apklausos balo pokytis buvo -0,586 lekanemabo grupėje ir -1,258 placebo grupėje; tai lėmė statistiškai reikšmingą 0,672 skirtumą po 18 mėnesių (95 % PI: 0,209; 1,136; P = 0,00450) lekanemabo naudai.</w:t>
      </w:r>
    </w:p>
    <w:p w14:paraId="0579334B" w14:textId="77777777" w:rsidR="002411ED" w:rsidRPr="00C36B3E" w:rsidRDefault="00CF41E6" w:rsidP="002411ED">
      <w:pPr>
        <w:tabs>
          <w:tab w:val="left" w:pos="426"/>
        </w:tabs>
        <w:spacing w:line="276" w:lineRule="auto"/>
        <w:jc w:val="both"/>
        <w:rPr>
          <w:rFonts w:eastAsia="Arial"/>
        </w:rPr>
      </w:pPr>
      <w:r w:rsidRPr="00C36B3E">
        <w:rPr>
          <w:rFonts w:eastAsia="Arial"/>
        </w:rPr>
        <w:tab/>
      </w:r>
      <w:r w:rsidR="00824094" w:rsidRPr="00C36B3E">
        <w:rPr>
          <w:rFonts w:eastAsia="Arial"/>
        </w:rPr>
        <w:t>Į</w:t>
      </w:r>
      <w:r w:rsidRPr="00C36B3E">
        <w:rPr>
          <w:rFonts w:eastAsia="Arial"/>
        </w:rPr>
        <w:t xml:space="preserve">vertinus saugumo duomenis, nustatyta, kad vartojant lekanemabą, palyginus su placebu, dažniau gali pasitaikyti potencialiai </w:t>
      </w:r>
      <w:r w:rsidR="000819A5" w:rsidRPr="00C36B3E">
        <w:rPr>
          <w:rFonts w:eastAsia="Arial"/>
        </w:rPr>
        <w:t xml:space="preserve">sunkių </w:t>
      </w:r>
      <w:r w:rsidRPr="00C36B3E">
        <w:rPr>
          <w:rFonts w:eastAsia="Arial"/>
        </w:rPr>
        <w:t xml:space="preserve">nepageidaujamų reiškinių, tokių kaip </w:t>
      </w:r>
      <w:r w:rsidR="009942E7" w:rsidRPr="00C36B3E">
        <w:rPr>
          <w:rFonts w:eastAsia="Arial"/>
        </w:rPr>
        <w:t>reakcija į infuziją</w:t>
      </w:r>
      <w:r w:rsidR="00013A05" w:rsidRPr="00C36B3E">
        <w:rPr>
          <w:rFonts w:eastAsia="Arial"/>
        </w:rPr>
        <w:t xml:space="preserve"> </w:t>
      </w:r>
      <w:r w:rsidR="009942E7" w:rsidRPr="00C36B3E">
        <w:rPr>
          <w:rFonts w:eastAsia="Arial"/>
        </w:rPr>
        <w:t xml:space="preserve">ar </w:t>
      </w:r>
      <w:r w:rsidRPr="00C36B3E">
        <w:rPr>
          <w:rFonts w:eastAsia="Arial"/>
        </w:rPr>
        <w:t>su amiloidu susiję vaizd</w:t>
      </w:r>
      <w:r w:rsidR="000819A5" w:rsidRPr="00C36B3E">
        <w:rPr>
          <w:rFonts w:eastAsia="Arial"/>
        </w:rPr>
        <w:t xml:space="preserve">inių tyrimų </w:t>
      </w:r>
      <w:r w:rsidR="009942E7" w:rsidRPr="00C36B3E">
        <w:rPr>
          <w:rFonts w:eastAsia="Arial"/>
        </w:rPr>
        <w:t xml:space="preserve">pakitimai (angl, Amyloid-Related Imaging Abnormalities ARIA), pasireiškiančių kaip </w:t>
      </w:r>
      <w:r w:rsidRPr="00C36B3E">
        <w:rPr>
          <w:rFonts w:eastAsia="Arial"/>
        </w:rPr>
        <w:t>vazogenin</w:t>
      </w:r>
      <w:r w:rsidR="009942E7" w:rsidRPr="00C36B3E">
        <w:rPr>
          <w:rFonts w:eastAsia="Arial"/>
        </w:rPr>
        <w:t>ė</w:t>
      </w:r>
      <w:r w:rsidRPr="00C36B3E">
        <w:rPr>
          <w:rFonts w:eastAsia="Arial"/>
        </w:rPr>
        <w:t xml:space="preserve"> edema</w:t>
      </w:r>
      <w:r w:rsidR="009942E7" w:rsidRPr="00C36B3E">
        <w:rPr>
          <w:rFonts w:eastAsia="Arial"/>
        </w:rPr>
        <w:t xml:space="preserve"> (ARIA E</w:t>
      </w:r>
      <w:r w:rsidRPr="00C36B3E">
        <w:rPr>
          <w:rFonts w:eastAsia="Arial"/>
        </w:rPr>
        <w:t xml:space="preserve">)  </w:t>
      </w:r>
      <w:r w:rsidR="009942E7" w:rsidRPr="00C36B3E">
        <w:rPr>
          <w:rFonts w:eastAsia="Arial"/>
        </w:rPr>
        <w:t>ar mikrohemoragijos (</w:t>
      </w:r>
      <w:r w:rsidRPr="00C36B3E">
        <w:rPr>
          <w:rFonts w:eastAsia="Arial"/>
        </w:rPr>
        <w:t>ARIA H</w:t>
      </w:r>
      <w:r w:rsidR="009942E7" w:rsidRPr="00C36B3E">
        <w:rPr>
          <w:rFonts w:eastAsia="Arial"/>
        </w:rPr>
        <w:t>)</w:t>
      </w:r>
      <w:r w:rsidRPr="00C36B3E">
        <w:rPr>
          <w:rFonts w:eastAsia="Arial"/>
        </w:rPr>
        <w:t xml:space="preserve"> ( Didesnė ARIA E ir ARIA H </w:t>
      </w:r>
      <w:r w:rsidR="00824094" w:rsidRPr="00C36B3E">
        <w:rPr>
          <w:rFonts w:eastAsia="Arial"/>
        </w:rPr>
        <w:t xml:space="preserve"> atsiradimo</w:t>
      </w:r>
      <w:r w:rsidRPr="00C36B3E">
        <w:rPr>
          <w:rFonts w:eastAsia="Arial"/>
        </w:rPr>
        <w:t xml:space="preserve"> rizika yra pacientams, turintiems APOE </w:t>
      </w:r>
      <w:r w:rsidR="00824094" w:rsidRPr="00C36B3E">
        <w:t xml:space="preserve"> ε</w:t>
      </w:r>
      <w:r w:rsidR="00824094" w:rsidRPr="00C36B3E">
        <w:rPr>
          <w:rFonts w:eastAsia="Arial"/>
        </w:rPr>
        <w:t xml:space="preserve"> </w:t>
      </w:r>
      <w:r w:rsidRPr="00C36B3E">
        <w:rPr>
          <w:rFonts w:eastAsia="Arial"/>
        </w:rPr>
        <w:t>4 alelį, ypač homozigotams, taip pat asmenims, kuriems prieš pradedant tyrimą nustatytas daug smegenų mikro</w:t>
      </w:r>
      <w:r w:rsidR="00824094" w:rsidRPr="00C36B3E">
        <w:rPr>
          <w:rFonts w:eastAsia="Arial"/>
        </w:rPr>
        <w:t>hemoragijų</w:t>
      </w:r>
      <w:r w:rsidRPr="00C36B3E">
        <w:rPr>
          <w:rFonts w:eastAsia="Arial"/>
        </w:rPr>
        <w:t xml:space="preserve"> vietų, tikriausiai atspindinči</w:t>
      </w:r>
      <w:r w:rsidR="00013A05" w:rsidRPr="00C36B3E">
        <w:rPr>
          <w:rFonts w:eastAsia="Arial"/>
        </w:rPr>
        <w:t>ų</w:t>
      </w:r>
      <w:r w:rsidRPr="00C36B3E">
        <w:rPr>
          <w:rFonts w:eastAsia="Arial"/>
        </w:rPr>
        <w:t xml:space="preserve"> amiloidinę angiopatiją.</w:t>
      </w:r>
    </w:p>
    <w:p w14:paraId="4215C915" w14:textId="15B1716E" w:rsidR="00824094" w:rsidRPr="00C36B3E" w:rsidRDefault="002411ED" w:rsidP="002411ED">
      <w:pPr>
        <w:tabs>
          <w:tab w:val="left" w:pos="426"/>
        </w:tabs>
        <w:spacing w:line="276" w:lineRule="auto"/>
        <w:jc w:val="both"/>
        <w:rPr>
          <w:bCs/>
          <w:color w:val="000000"/>
          <w:lang w:eastAsia="lt-LT"/>
        </w:rPr>
      </w:pPr>
      <w:r w:rsidRPr="00C36B3E">
        <w:rPr>
          <w:rFonts w:eastAsia="Arial"/>
        </w:rPr>
        <w:tab/>
      </w:r>
      <w:r w:rsidR="00CF41E6" w:rsidRPr="00C36B3E">
        <w:rPr>
          <w:rFonts w:eastAsia="Arial"/>
        </w:rPr>
        <w:t xml:space="preserve">Apibendrinant, </w:t>
      </w:r>
      <w:r w:rsidR="00CF41E6" w:rsidRPr="00C36B3E">
        <w:rPr>
          <w:rFonts w:eastAsia="Arial"/>
          <w:i/>
          <w:iCs/>
        </w:rPr>
        <w:t>Clarity AD</w:t>
      </w:r>
      <w:r w:rsidR="00CF41E6" w:rsidRPr="00C36B3E">
        <w:rPr>
          <w:rFonts w:eastAsia="Arial"/>
        </w:rPr>
        <w:t xml:space="preserve"> tyrimo klinikinių duomen</w:t>
      </w:r>
      <w:r w:rsidR="00824094" w:rsidRPr="00C36B3E">
        <w:rPr>
          <w:rFonts w:eastAsia="Arial"/>
        </w:rPr>
        <w:t>ys</w:t>
      </w:r>
      <w:r w:rsidR="00CF41E6" w:rsidRPr="00C36B3E">
        <w:rPr>
          <w:rFonts w:eastAsia="Arial"/>
        </w:rPr>
        <w:t xml:space="preserve"> parodė, kad lekanemabo sukuriama klinikinė nauda </w:t>
      </w:r>
      <w:r w:rsidR="00824094" w:rsidRPr="00C36B3E">
        <w:rPr>
          <w:rFonts w:eastAsia="Arial"/>
        </w:rPr>
        <w:t xml:space="preserve">yra </w:t>
      </w:r>
      <w:r w:rsidR="00CF41E6" w:rsidRPr="00C36B3E">
        <w:rPr>
          <w:rFonts w:eastAsia="Arial"/>
        </w:rPr>
        <w:t xml:space="preserve">pakankamai neapibrėžta, nes </w:t>
      </w:r>
      <w:r w:rsidR="00824094" w:rsidRPr="00C36B3E">
        <w:rPr>
          <w:rFonts w:eastAsia="Arial"/>
        </w:rPr>
        <w:t xml:space="preserve">gydymas </w:t>
      </w:r>
      <w:r w:rsidR="00824094" w:rsidRPr="00C36B3E">
        <w:rPr>
          <w:rFonts w:eastAsia="Arial"/>
          <w:bCs/>
        </w:rPr>
        <w:t>lekanemabu</w:t>
      </w:r>
      <w:r w:rsidR="00824094" w:rsidRPr="00C36B3E">
        <w:rPr>
          <w:rFonts w:eastAsia="Arial"/>
        </w:rPr>
        <w:t xml:space="preserve"> </w:t>
      </w:r>
      <w:r w:rsidR="00CF41E6" w:rsidRPr="00C36B3E">
        <w:rPr>
          <w:rFonts w:eastAsia="Arial"/>
        </w:rPr>
        <w:t xml:space="preserve">galimai  turi </w:t>
      </w:r>
      <w:r w:rsidR="00824094" w:rsidRPr="00C36B3E">
        <w:rPr>
          <w:rFonts w:eastAsia="Arial"/>
        </w:rPr>
        <w:t xml:space="preserve">nedidelį </w:t>
      </w:r>
      <w:r w:rsidR="00CF41E6" w:rsidRPr="00C36B3E">
        <w:rPr>
          <w:rFonts w:eastAsia="Arial"/>
        </w:rPr>
        <w:t xml:space="preserve">poveikio demencijos sulėtėjimui ir atminties </w:t>
      </w:r>
      <w:r w:rsidR="00415236" w:rsidRPr="00C36B3E">
        <w:rPr>
          <w:rFonts w:eastAsia="Arial"/>
        </w:rPr>
        <w:t xml:space="preserve">bei </w:t>
      </w:r>
      <w:r w:rsidR="00CF41E6" w:rsidRPr="00C36B3E">
        <w:rPr>
          <w:rFonts w:eastAsia="Arial"/>
        </w:rPr>
        <w:t xml:space="preserve">mąstymo gebėjimų išlaikymui, nors </w:t>
      </w:r>
      <w:r w:rsidR="00824094" w:rsidRPr="00C36B3E">
        <w:rPr>
          <w:rFonts w:eastAsia="Arial"/>
        </w:rPr>
        <w:t xml:space="preserve">gali </w:t>
      </w:r>
      <w:r w:rsidR="00CF41E6" w:rsidRPr="00C36B3E">
        <w:rPr>
          <w:rFonts w:eastAsia="Arial"/>
        </w:rPr>
        <w:t xml:space="preserve">šiek tiek pagerinti sudėtingesnių kasdieninių užduočių vykdymą pacientams, sergantiems ankstyva simptomine AD stadija. Šiuo metu trūksta ilgalaikio gydymo lekanemabu veiksmingumo duomenų, kurie galėtų </w:t>
      </w:r>
      <w:r w:rsidR="00824094" w:rsidRPr="00C36B3E">
        <w:rPr>
          <w:rFonts w:eastAsia="Arial"/>
        </w:rPr>
        <w:t xml:space="preserve"> patvirtinti </w:t>
      </w:r>
      <w:r w:rsidR="00CF41E6" w:rsidRPr="00C36B3E">
        <w:rPr>
          <w:rFonts w:eastAsia="Arial"/>
        </w:rPr>
        <w:t xml:space="preserve">AL </w:t>
      </w:r>
      <w:r w:rsidR="00824094" w:rsidRPr="00C36B3E">
        <w:rPr>
          <w:rFonts w:eastAsia="Arial"/>
        </w:rPr>
        <w:t xml:space="preserve">progresavimo </w:t>
      </w:r>
      <w:r w:rsidR="00CF41E6" w:rsidRPr="00C36B3E">
        <w:rPr>
          <w:rFonts w:eastAsia="Arial"/>
        </w:rPr>
        <w:t>sulėtėjimo tendenciją po 18 gydymo mėnesių</w:t>
      </w:r>
      <w:r w:rsidR="00415236" w:rsidRPr="00C36B3E">
        <w:rPr>
          <w:rFonts w:eastAsia="Arial"/>
        </w:rPr>
        <w:t xml:space="preserve"> </w:t>
      </w:r>
      <w:r w:rsidR="00415236" w:rsidRPr="00C36B3E">
        <w:rPr>
          <w:iCs/>
        </w:rPr>
        <w:t>ir pademonstruotų kliniškai reikšmingus pokyčius gydant pacientus su ankstyva AL</w:t>
      </w:r>
      <w:r w:rsidR="00415236" w:rsidRPr="00C36B3E">
        <w:rPr>
          <w:i/>
        </w:rPr>
        <w:t>.</w:t>
      </w:r>
      <w:r w:rsidR="00CF41E6" w:rsidRPr="00C36B3E">
        <w:rPr>
          <w:rFonts w:eastAsia="Arial"/>
        </w:rPr>
        <w:t xml:space="preserve"> Vis dėl to </w:t>
      </w:r>
      <w:r w:rsidR="00CF41E6" w:rsidRPr="00C36B3E">
        <w:rPr>
          <w:rFonts w:eastAsia="Arial"/>
          <w:b/>
          <w:bCs/>
        </w:rPr>
        <w:t xml:space="preserve">atsižvelgiant į statistiškai reikšmingą skirtumą tarp palyginamųjų gydymų pagal pirminės ir antrinių baigčių rezultatus </w:t>
      </w:r>
      <w:r w:rsidR="00824094" w:rsidRPr="00C36B3E">
        <w:rPr>
          <w:rFonts w:eastAsia="Arial"/>
          <w:b/>
          <w:bCs/>
        </w:rPr>
        <w:t>lek</w:t>
      </w:r>
      <w:r w:rsidR="00CF41E6" w:rsidRPr="00C36B3E">
        <w:rPr>
          <w:rFonts w:eastAsia="Arial"/>
          <w:b/>
          <w:bCs/>
        </w:rPr>
        <w:t>anemabo veiksmingumas laikomas didesnis</w:t>
      </w:r>
      <w:r w:rsidR="00824094" w:rsidRPr="00C36B3E">
        <w:rPr>
          <w:rFonts w:eastAsia="Arial"/>
          <w:b/>
          <w:bCs/>
        </w:rPr>
        <w:t xml:space="preserve"> </w:t>
      </w:r>
      <w:r w:rsidR="00824094" w:rsidRPr="00C36B3E">
        <w:rPr>
          <w:bCs/>
          <w:color w:val="000000"/>
          <w:lang w:eastAsia="lt-LT"/>
        </w:rPr>
        <w:t>palyginus su įprasta klinikine praktika.</w:t>
      </w:r>
    </w:p>
    <w:p w14:paraId="39C1ADA8" w14:textId="77777777" w:rsidR="00AC5129" w:rsidRPr="00C36B3E" w:rsidRDefault="00AC5129" w:rsidP="00A93AA6">
      <w:pPr>
        <w:pStyle w:val="Sraopastraipa"/>
        <w:tabs>
          <w:tab w:val="left" w:pos="426"/>
        </w:tabs>
        <w:ind w:left="0"/>
        <w:rPr>
          <w:b/>
          <w:bCs/>
          <w:caps/>
        </w:rPr>
      </w:pPr>
    </w:p>
    <w:p w14:paraId="7DE09EB5" w14:textId="69E9DD74" w:rsidR="00E03C3F" w:rsidRPr="00C36B3E" w:rsidRDefault="00CC7832" w:rsidP="00CC09D4">
      <w:pPr>
        <w:pStyle w:val="Sraopastraipa"/>
        <w:numPr>
          <w:ilvl w:val="0"/>
          <w:numId w:val="12"/>
        </w:numPr>
        <w:tabs>
          <w:tab w:val="left" w:pos="567"/>
        </w:tabs>
        <w:ind w:hanging="720"/>
        <w:rPr>
          <w:b/>
          <w:bCs/>
          <w:caps/>
        </w:rPr>
      </w:pPr>
      <w:r w:rsidRPr="00C36B3E">
        <w:rPr>
          <w:b/>
          <w:bCs/>
          <w:caps/>
        </w:rPr>
        <w:t xml:space="preserve">ekonominio vertinimo </w:t>
      </w:r>
      <w:r w:rsidR="002F0E4F" w:rsidRPr="00C36B3E">
        <w:rPr>
          <w:b/>
          <w:bCs/>
          <w:caps/>
        </w:rPr>
        <w:t>apibendrinimas</w:t>
      </w:r>
    </w:p>
    <w:p w14:paraId="1A900598" w14:textId="4826E5DF" w:rsidR="00C62B36" w:rsidRPr="00C36B3E" w:rsidRDefault="00C62B36" w:rsidP="00A93AA6">
      <w:pPr>
        <w:tabs>
          <w:tab w:val="left" w:pos="426"/>
        </w:tabs>
        <w:rPr>
          <w:b/>
          <w:bCs/>
          <w:caps/>
        </w:rPr>
      </w:pPr>
    </w:p>
    <w:p w14:paraId="5481DCA8" w14:textId="77777777" w:rsidR="00A25BC3" w:rsidRPr="00C36B3E" w:rsidRDefault="00A25BC3" w:rsidP="003E0B83">
      <w:pPr>
        <w:spacing w:line="276" w:lineRule="auto"/>
        <w:jc w:val="both"/>
      </w:pPr>
      <w:r w:rsidRPr="00C36B3E">
        <w:rPr>
          <w:rFonts w:eastAsia="Arial"/>
        </w:rPr>
        <w:t xml:space="preserve">Klinikinio vertinimo metu nustačius </w:t>
      </w:r>
      <w:r w:rsidRPr="00C36B3E">
        <w:rPr>
          <w:rFonts w:eastAsia="Arial"/>
          <w:i/>
          <w:iCs/>
        </w:rPr>
        <w:t xml:space="preserve">didesnį </w:t>
      </w:r>
      <w:r w:rsidRPr="00C36B3E">
        <w:rPr>
          <w:rFonts w:eastAsia="Arial"/>
        </w:rPr>
        <w:t>palyginamąjį veiksmingumą lyginant su įprasta klinikine praktika,</w:t>
      </w:r>
      <w:r w:rsidRPr="00C36B3E">
        <w:t xml:space="preserve"> atliekamas </w:t>
      </w:r>
      <w:r w:rsidRPr="00C36B3E">
        <w:rPr>
          <w:rFonts w:eastAsia="Arial"/>
          <w:bCs/>
          <w:szCs w:val="22"/>
        </w:rPr>
        <w:t xml:space="preserve">kaštų </w:t>
      </w:r>
      <w:r w:rsidRPr="00C36B3E">
        <w:rPr>
          <w:rFonts w:eastAsia="Arial"/>
          <w:i/>
          <w:iCs/>
          <w:szCs w:val="22"/>
        </w:rPr>
        <w:t>naudingumo</w:t>
      </w:r>
      <w:r w:rsidRPr="00C36B3E">
        <w:rPr>
          <w:rFonts w:eastAsia="Arial"/>
          <w:bCs/>
          <w:szCs w:val="22"/>
        </w:rPr>
        <w:t xml:space="preserve"> analizės vertinimas</w:t>
      </w:r>
      <w:r w:rsidRPr="00C36B3E">
        <w:t>.</w:t>
      </w:r>
    </w:p>
    <w:p w14:paraId="14FB0B73" w14:textId="77777777" w:rsidR="00A25BC3" w:rsidRPr="00C36B3E" w:rsidRDefault="00A25BC3" w:rsidP="002411ED">
      <w:pPr>
        <w:spacing w:line="276" w:lineRule="auto"/>
        <w:jc w:val="both"/>
        <w:rPr>
          <w:lang w:eastAsia="lt-LT"/>
        </w:rPr>
      </w:pPr>
      <w:r w:rsidRPr="00C36B3E">
        <w:rPr>
          <w:lang w:eastAsia="lt-LT"/>
        </w:rPr>
        <w:t>Į ekonominę analizę įtraukti pacientai atitinka kompensacijai teikiamas terapines indikacijas.</w:t>
      </w:r>
    </w:p>
    <w:p w14:paraId="7DF2FC43" w14:textId="77777777" w:rsidR="00A25BC3" w:rsidRPr="00C36B3E" w:rsidRDefault="00A25BC3" w:rsidP="003E0B83">
      <w:pPr>
        <w:spacing w:line="276" w:lineRule="auto"/>
        <w:jc w:val="both"/>
      </w:pPr>
      <w:r w:rsidRPr="00C36B3E">
        <w:t>Analizėje nagrinėjama pacientų populiacija su lengvu kognityviniu sutrikimu (MCI) dėl AD ar lengva demencija dėl AD (ankstyva AD) su patvirtinta Aβ patologija, kurie turi vieną (heterozigotinis nešiotojas) ar neturi kopijų (ne nešiotojas) E geno apolipoproteino variantą, žinomą, kaip  apolipoproteinu E</w:t>
      </w:r>
      <w:r w:rsidRPr="00C36B3E">
        <w:rPr>
          <w:rStyle w:val="Grietas"/>
          <w:b w:val="0"/>
          <w:bCs w:val="0"/>
        </w:rPr>
        <w:t>4 (</w:t>
      </w:r>
      <w:r w:rsidRPr="00C36B3E">
        <w:t xml:space="preserve">APOE4). Pacientų charakteristikos grindžiamos tyrimu </w:t>
      </w:r>
      <w:r w:rsidRPr="00C36B3E">
        <w:rPr>
          <w:i/>
          <w:iCs/>
        </w:rPr>
        <w:t>Clarity AD</w:t>
      </w:r>
      <w:r w:rsidRPr="00C36B3E">
        <w:t>.</w:t>
      </w:r>
    </w:p>
    <w:p w14:paraId="6DC48D19" w14:textId="77777777" w:rsidR="00A25BC3" w:rsidRPr="00C36B3E" w:rsidRDefault="00A25BC3" w:rsidP="002411ED">
      <w:pPr>
        <w:spacing w:line="276" w:lineRule="auto"/>
        <w:jc w:val="both"/>
        <w:rPr>
          <w:rFonts w:eastAsia="Arial"/>
          <w:bCs/>
          <w:szCs w:val="22"/>
        </w:rPr>
      </w:pPr>
      <w:r w:rsidRPr="00C36B3E">
        <w:rPr>
          <w:lang w:eastAsia="lt-LT"/>
        </w:rPr>
        <w:t xml:space="preserve">Analizėje nagrinėjamas palyginamasis gydymas atitinka Lietuvos klinikinę praktiką. </w:t>
      </w:r>
      <w:r w:rsidRPr="00C36B3E">
        <w:rPr>
          <w:rFonts w:eastAsia="Arial"/>
          <w:bCs/>
          <w:szCs w:val="22"/>
        </w:rPr>
        <w:t xml:space="preserve">Ekonominėje analizėje pateiktas palyginamasis gydymas atitinka įprastą Lietuvos Respublikos klinikinę praktiką. Analizėje taikomas palyginamasis – standartinė klinikinė praktika (SoC). </w:t>
      </w:r>
    </w:p>
    <w:p w14:paraId="2865F48A" w14:textId="77777777" w:rsidR="00A25BC3" w:rsidRPr="00C36B3E" w:rsidRDefault="00A25BC3" w:rsidP="002411ED">
      <w:pPr>
        <w:tabs>
          <w:tab w:val="left" w:pos="567"/>
        </w:tabs>
        <w:spacing w:line="276" w:lineRule="auto"/>
        <w:jc w:val="both"/>
      </w:pPr>
      <w:r w:rsidRPr="00C36B3E">
        <w:t xml:space="preserve">Dozavimas ekonominėje analizėje atitinka klinikiniuose įrodymuose pateiktą informaciją. Gydymo trukmė modelyje nėra apribojama. Analizėje gydymo trukmės duomenys buvo naudoti iš </w:t>
      </w:r>
      <w:r w:rsidRPr="00C36B3E">
        <w:rPr>
          <w:i/>
          <w:iCs/>
        </w:rPr>
        <w:t>Clarity AD</w:t>
      </w:r>
      <w:r w:rsidRPr="00C36B3E">
        <w:t>. Gydymo nutraukimo dėl bet kokių priežasčių dažnis buvo gana pastovus tyrimo laikotarpiu, tačiau remiantis klinikinio vertinimo dalies išvada ir rekomenduojamomis skyrimo sąlygomis, Tarnyba ekonominėje analizėje taiko 18 mėn. gydymo trukmės apribojimą ir gydymo trukmės ekstrapoliacija yra nereikalinga. Netaikant gydymo trukmės apribojimo, lekanemabo grupės kaštai stipriai išauga, todėl didėja ir ICER.</w:t>
      </w:r>
    </w:p>
    <w:p w14:paraId="6A6320BB" w14:textId="77777777" w:rsidR="00A25BC3" w:rsidRPr="00C36B3E" w:rsidRDefault="00A25BC3" w:rsidP="002411ED">
      <w:pPr>
        <w:spacing w:line="276" w:lineRule="auto"/>
        <w:jc w:val="both"/>
        <w:rPr>
          <w:lang w:eastAsia="lt-LT"/>
        </w:rPr>
      </w:pPr>
      <w:r w:rsidRPr="00C36B3E">
        <w:t xml:space="preserve">Kaštai ir nauda diskontuoti pagal teisės aktuose nustatytus paraiškos rengimo taisyklių reikalavimus. Taikytas 3,5% diskontavimas. Analizė atlikta iš PSDF biudžeto perspektyvos, įtraukti tiesiogiai su sveikatos sistema susiję kaštai. Tai atitinka teisės aktuose nustatytus paraiškos rengimo taisyklių reikalavimus. Papildomai modelyje suteikta galimybė analizuoti socialinę perspektyvą – įtraukti pacientą prižiūrinčių asmenų gyvenimo kokybę, tai atitinka SAM įsakymu V-159 patvirtintų Paraiškos įrašyti vaistinį preparatą į kompensavimo sąrašus rengimo taisyklių 124 punktą: „Kitos, pareiškėjo nuomone, svarbios ekonominės analizės perspektyvos gali būti įtrauktos kaip papildoma </w:t>
      </w:r>
      <w:r w:rsidRPr="00C36B3E">
        <w:lastRenderedPageBreak/>
        <w:t xml:space="preserve">informacija.“ Pagrindinio atvejo analizėje nagrinėjami tiesiogiai su sveikatos sistema susiję kaštai ir nauda pacientui. </w:t>
      </w:r>
      <w:r w:rsidRPr="00C36B3E">
        <w:rPr>
          <w:lang w:eastAsia="lt-LT"/>
        </w:rPr>
        <w:t>Analizėje taikoma 30 metų, viso gyvenimo, laiko perspektyva. Pasirinkta laiko perspektyva yra tinkama.</w:t>
      </w:r>
    </w:p>
    <w:p w14:paraId="77EB9486" w14:textId="7CA7DC1E" w:rsidR="00A25BC3" w:rsidRPr="00C36B3E" w:rsidRDefault="00A25BC3" w:rsidP="002411ED">
      <w:pPr>
        <w:spacing w:line="276" w:lineRule="auto"/>
        <w:jc w:val="both"/>
        <w:rPr>
          <w:lang w:eastAsia="lt-LT"/>
        </w:rPr>
      </w:pPr>
      <w:r w:rsidRPr="00C36B3E">
        <w:rPr>
          <w:lang w:eastAsia="lt-LT"/>
        </w:rPr>
        <w:t>Analizėje taikomas modeliavimas – Markovo būklių perėjimo modelis su 9 sveikatos būklėmis. modelio struktūra laikoma tinkama analizės rezultato apskaičiavimui. Modelyje Pareiškėjas taiko galimybę pacientui pereiti į geresnę sveikatos būklę (pvz. iš vidutinio sunkumo AD į lengvą AD). Tarnybos klinikinių ekspertų nuomone, tokia galimybė modelyje neturėtų būti taikoma, nes remiantis klinikinių tyrimų duomenimis, vartojant vaistą pacientų ligos progres</w:t>
      </w:r>
      <w:r w:rsidR="000819A5" w:rsidRPr="00C36B3E">
        <w:rPr>
          <w:lang w:eastAsia="lt-LT"/>
        </w:rPr>
        <w:t>avimas</w:t>
      </w:r>
      <w:r w:rsidRPr="00C36B3E">
        <w:rPr>
          <w:lang w:eastAsia="lt-LT"/>
        </w:rPr>
        <w:t xml:space="preserve"> gali būti stabdoma kuriam laikui, tačiau būklė iš esmės nepagerėja (gali pakisti CDR-SB skalės bal</w:t>
      </w:r>
      <w:r w:rsidR="002411ED" w:rsidRPr="00C36B3E">
        <w:rPr>
          <w:lang w:eastAsia="lt-LT"/>
        </w:rPr>
        <w:t>ų skaitinė išraiška</w:t>
      </w:r>
      <w:r w:rsidRPr="00C36B3E">
        <w:rPr>
          <w:lang w:eastAsia="lt-LT"/>
        </w:rPr>
        <w:t>, tačiau šis pokytis nebūtinai lemia geresnę pacientų savijautą). Papildomai, Tarnyba paraleliai atlieka ir kito vaistinio preparato paraiškos vertinimą, kurioje nagrinėjama ta pati kompensavimui siūloma indikacija. Siekiant išlaikyti vertinimų nuoseklumą ir tęstinumą bei remiantis Tarnybos klinikinių ekspertų nuomone, Tarnyba pagrindinio atvejo analizėje netaiko galimybės pacientų judėjimui iš prastesnės sveikatos būklės į geresnę.</w:t>
      </w:r>
    </w:p>
    <w:p w14:paraId="23ADDCC8" w14:textId="77777777" w:rsidR="00A25BC3" w:rsidRPr="00C36B3E" w:rsidRDefault="00A25BC3" w:rsidP="002411ED">
      <w:pPr>
        <w:spacing w:line="276" w:lineRule="auto"/>
        <w:jc w:val="both"/>
      </w:pPr>
      <w:r w:rsidRPr="00C36B3E">
        <w:t xml:space="preserve">Būklių perėjimo tikimybės analizėje buvo įvertintos naudojant </w:t>
      </w:r>
      <w:r w:rsidRPr="00C36B3E">
        <w:rPr>
          <w:i/>
          <w:iCs/>
        </w:rPr>
        <w:t>Clarity AD</w:t>
      </w:r>
      <w:r w:rsidRPr="00C36B3E">
        <w:t xml:space="preserve"> tyrimo duomenis.</w:t>
      </w:r>
    </w:p>
    <w:p w14:paraId="5FFBA11F" w14:textId="74C5DB9E" w:rsidR="00A25BC3" w:rsidRPr="00C36B3E" w:rsidRDefault="00A25BC3" w:rsidP="002411ED">
      <w:pPr>
        <w:spacing w:line="276" w:lineRule="auto"/>
        <w:jc w:val="both"/>
        <w:rPr>
          <w:lang w:eastAsia="lt-LT"/>
        </w:rPr>
      </w:pPr>
      <w:r w:rsidRPr="00C36B3E">
        <w:t xml:space="preserve">Vertinant ligai specifinį mirtingumą, baziniam atvejui Pareiškėjas pasirinko Crowell ir kt. (2023 m.) 2 modelį, nes, pasak Pareiškėjo, jis labiausiai atitinka ekonominį modelį, pateikdamas HR pagal AD sunkumą (palyginti su kognityviai normaliu). Santykinis mirtingumo poveikis buvo pritaikytas pagal amžių ir lytį pakoreguotiems bendros populiacijos mirtingumo įverčiams, naudojant Lietuvos bendros populiacijos gyvenimo trukmės lenteles. Mirtingumas taikomas kaip pagal amžių ir lytį svertinis metinis mirtingumas, pakoreguotas pagal mėnesio ciklo trukmę. </w:t>
      </w:r>
      <w:r w:rsidRPr="00C36B3E">
        <w:rPr>
          <w:color w:val="000000" w:themeColor="text1"/>
        </w:rPr>
        <w:t xml:space="preserve">Tarnyba sutinka, jog mirtingumo rizika turi skirtis tarp skirtingų sveikatos būklių (Mild AD mažiausia rizika – Severe AD didžiausia, tikėtina, jog </w:t>
      </w:r>
      <w:r w:rsidR="00D33EAA" w:rsidRPr="00C36B3E">
        <w:rPr>
          <w:color w:val="000000" w:themeColor="text1"/>
        </w:rPr>
        <w:t>„</w:t>
      </w:r>
      <w:r w:rsidRPr="00C36B3E">
        <w:rPr>
          <w:color w:val="000000" w:themeColor="text1"/>
        </w:rPr>
        <w:t>MCI due to AD</w:t>
      </w:r>
      <w:r w:rsidR="00D33EAA" w:rsidRPr="00C36B3E">
        <w:rPr>
          <w:color w:val="000000" w:themeColor="text1"/>
        </w:rPr>
        <w:t>“</w:t>
      </w:r>
      <w:r w:rsidRPr="00C36B3E">
        <w:rPr>
          <w:color w:val="000000" w:themeColor="text1"/>
        </w:rPr>
        <w:t xml:space="preserve"> būklės mirtingumas yra panašus kaip ir bendrosios populiacijos, dėl lengvo kognityvinio sutrikimo), tačiau vertina, jog MCI due to AD būklėje naudojamas 0,63 HR nėra kliniškai tinkamas, todėl pagrindinio atvejo analizėje taiko pakoreguotus Crowell ir kt., šaltinio įverčius, modelyje pateiktus kaip Crowell et al., 2023 NICE EAG. Šiame šaltinyje nurodyti mirtingumo HR, Tarnybos klinikinių ekspertų vertinami kaip tinkamesni skirtingoms pacientų sveikatos būklėms. </w:t>
      </w:r>
      <w:r w:rsidRPr="00C36B3E">
        <w:rPr>
          <w:lang w:eastAsia="lt-LT"/>
        </w:rPr>
        <w:t>Tarnyba paraleliai atlieka ir kito vaistinio preparato paraiškos vertinimą, kurioje nagrinėjama ta pati kompensavimui siūloma indikacija. Siekiant vertinimų nuoseklumo ir tęstinumo abiejuose vertinimuose Tarnyba taiko Crowell et al., 2023 NICE EAG šaltinį ligai specifiniam mirtingumui įvertinti.</w:t>
      </w:r>
    </w:p>
    <w:p w14:paraId="53611281" w14:textId="77777777" w:rsidR="00A25BC3" w:rsidRPr="00C36B3E" w:rsidRDefault="00A25BC3" w:rsidP="002411ED">
      <w:pPr>
        <w:spacing w:line="276" w:lineRule="auto"/>
        <w:jc w:val="both"/>
        <w:rPr>
          <w:lang w:eastAsia="en-CA"/>
        </w:rPr>
      </w:pPr>
      <w:r w:rsidRPr="00C36B3E">
        <w:t xml:space="preserve">Analizėje naudojami gyvenimo kokybės duomenys iš </w:t>
      </w:r>
      <w:r w:rsidRPr="00C36B3E">
        <w:rPr>
          <w:i/>
          <w:iCs/>
        </w:rPr>
        <w:t>Clarity AD</w:t>
      </w:r>
      <w:r w:rsidRPr="00C36B3E">
        <w:t xml:space="preserve"> tyrimo, </w:t>
      </w:r>
      <w:r w:rsidRPr="00C36B3E">
        <w:rPr>
          <w:lang w:eastAsia="en-CA"/>
        </w:rPr>
        <w:t xml:space="preserve">vidutinio sunkumo ir sunkiai AD įverčiai buvo gauti iš Landeiro et al., 2020 publikacijos. Pareiškėjas taiko skirtingus gyvenimo kokybės įverčius pagal gaunamą gydymą, tačiau </w:t>
      </w:r>
      <w:r w:rsidRPr="00C36B3E">
        <w:t xml:space="preserve">Tarnybos vertinimu, lekanemabo sugeneruojama nauda pacientų sveikatai atsispindi CDR-SB skalės balų pokytyje. Tarnyba vertina, jog analizėje taikomas skirtumas tarp lekanemabo ir SoC grupių yra labai nedidelis ir nereikšmingas, tačiau šio skaitinio skirtumo taikymas ekonominiame modelyje gali sugeneruoti papildomą naudą ilgalaikėje perspektyvoje. Tarnyba pagrindinio atvejo analizėje taiko skirtingus gyvenimo kokybės įverčius pagal pacientų būklę, o ne pagal gaunamą gydymą (lekanemabo ir SoC grupėse taikomi vienodi gyvenimo kokybės įverčiai skirtingose sveikatos būklėse). </w:t>
      </w:r>
      <w:r w:rsidRPr="00C36B3E">
        <w:rPr>
          <w:lang w:eastAsia="en-CA"/>
        </w:rPr>
        <w:t xml:space="preserve"> </w:t>
      </w:r>
    </w:p>
    <w:p w14:paraId="4E0FBC73" w14:textId="7C627E5A" w:rsidR="00A25BC3" w:rsidRPr="00C36B3E" w:rsidRDefault="00A25BC3" w:rsidP="002411ED">
      <w:pPr>
        <w:spacing w:line="276" w:lineRule="auto"/>
        <w:jc w:val="both"/>
      </w:pPr>
      <w:r w:rsidRPr="00C36B3E">
        <w:t xml:space="preserve">Pareiškėjas pagrindinio atvejo analizėje taiko </w:t>
      </w:r>
      <w:r w:rsidR="001D4DB5">
        <w:t>***</w:t>
      </w:r>
      <w:r w:rsidRPr="00C36B3E">
        <w:t xml:space="preserve"> gyvenimo kokybės įverčių sumažėjimą (dekrementą) pacientams, patenkantiems į institucijas (Moderate AD ir Severe AD sveikatos būklėse). Tarnybos vertinimu, gyvenimo kokybės įverčių sumažėjimas dėl paciento gyvenimo vietos nėra pilnai pagrįstas – tikėtina, jog yra atvejų, kad sunkesnės būklės pacientai institucijose gauna geresnę priežiūrą (pacientais institucijose rūpinamasi nuolat, greitai prieinama ir medicininė pagalba, jei reikalinga), nei namuose, todėl Tarnyba, siekdama vienodumo su jau atliktais vertinimais tai pačiai </w:t>
      </w:r>
      <w:r w:rsidRPr="00C36B3E">
        <w:lastRenderedPageBreak/>
        <w:t>indikacijai, netaiko gyvenimo kokybės įverčio sumažėjimo, pacientams aptekusiems į institucijas. Tarnyba pabrėžia, jog siekiant vertinimų tęstinumo, panašumo, atkartojamumo, vienodi gyvenimo kokybės įverčiai taikomi ir Tarnybos paraleliai atliekamame vertinime kito vaistinio preparato paraiškai, skirtai tai pačiai kompensuoti siūlomai indikacijai. Minėtoje paraiškoje netaikomi ir gyvenimo kokybės įverčių dekrementai dėl pacientų patekimo į institucijas.</w:t>
      </w:r>
    </w:p>
    <w:p w14:paraId="4CBD5C99" w14:textId="77777777" w:rsidR="00A25BC3" w:rsidRPr="00C36B3E" w:rsidRDefault="00A25BC3" w:rsidP="002411ED">
      <w:pPr>
        <w:spacing w:line="276" w:lineRule="auto"/>
        <w:jc w:val="both"/>
      </w:pPr>
      <w:r w:rsidRPr="00C36B3E">
        <w:t xml:space="preserve">Pareiškėjas teigia, jog AD demencija sukuria didelę naštą pacientą prižiūrintiems asmenims. Pacientą prižiūrinčių asmenų gyvenimo kokybės įverčiai nėra laikomi tiesioginės PSDF biudžeto perspektyvos dalimi ir nėra įtraukiami į tiesioginės (PSDF biudžeto) perspektyvos analizę, todėl Tarnybos pagrindinio atvejo analizėje nėra įtraukiami. Scenarijus, kuriame įtraukiami pacientą prižiūrinčių asmenų gyvenimo kokybės įverčiai, nagrinėjamas scenarijų analizėje. </w:t>
      </w:r>
    </w:p>
    <w:p w14:paraId="179624BD" w14:textId="77777777" w:rsidR="00A25BC3" w:rsidRPr="00C36B3E" w:rsidRDefault="00A25BC3" w:rsidP="002411ED">
      <w:pPr>
        <w:spacing w:line="276" w:lineRule="auto"/>
        <w:jc w:val="both"/>
      </w:pPr>
      <w:r w:rsidRPr="00C36B3E">
        <w:rPr>
          <w:lang w:eastAsia="lt-LT"/>
        </w:rPr>
        <w:t>Kaštai analizėje buvo atnaujinti pagal naujausią prieinamą informaciją.</w:t>
      </w:r>
    </w:p>
    <w:p w14:paraId="760C2140" w14:textId="2B9BD947" w:rsidR="00A25BC3" w:rsidRPr="00C36B3E" w:rsidRDefault="00A25BC3" w:rsidP="002411ED">
      <w:pPr>
        <w:spacing w:line="276" w:lineRule="auto"/>
        <w:jc w:val="both"/>
      </w:pPr>
      <w:r w:rsidRPr="00C36B3E">
        <w:rPr>
          <w:lang w:eastAsia="lt-LT"/>
        </w:rPr>
        <w:t>Analizėje pareiškėjas taiko gydymo nurodymų laikymosi prielaidą. G</w:t>
      </w:r>
      <w:r w:rsidRPr="00C36B3E">
        <w:t xml:space="preserve">ydymo nurodymo laikymasis </w:t>
      </w:r>
      <w:r w:rsidRPr="00C36B3E">
        <w:rPr>
          <w:i/>
          <w:iCs/>
        </w:rPr>
        <w:t>Clarity AD</w:t>
      </w:r>
      <w:r w:rsidRPr="00C36B3E">
        <w:t xml:space="preserve"> tyrime buvo </w:t>
      </w:r>
      <w:r w:rsidR="00252B76">
        <w:rPr>
          <w:i/>
          <w:iCs/>
          <w:lang w:eastAsia="lt-LT"/>
        </w:rPr>
        <w:t>***</w:t>
      </w:r>
      <w:r w:rsidR="00252B76" w:rsidRPr="00C36B3E">
        <w:rPr>
          <w:i/>
          <w:iCs/>
          <w:lang w:eastAsia="lt-LT"/>
        </w:rPr>
        <w:t xml:space="preserve"> </w:t>
      </w:r>
      <w:r w:rsidRPr="00C36B3E">
        <w:t>%. Tarnyba, siekdama vienodumo su atliktais vertinimais, taip pat nesant duomenų apie Lietuvos pacientų gydymo nurodymų laikymąsi, taiko 100 proc. gydymo nurodymų laikymosi prielaidą.</w:t>
      </w:r>
    </w:p>
    <w:p w14:paraId="4A64961A" w14:textId="77777777" w:rsidR="00A25BC3" w:rsidRPr="00C36B3E" w:rsidRDefault="00A25BC3" w:rsidP="002411ED">
      <w:pPr>
        <w:spacing w:line="276" w:lineRule="auto"/>
        <w:jc w:val="both"/>
      </w:pPr>
      <w:r w:rsidRPr="00C36B3E">
        <w:t>APOE4 testavimo kaštai pakoreguoti pagal VLK atliktame įtakos PSDF biudžetui vertinimo protokole nurodytą informaciją.</w:t>
      </w:r>
    </w:p>
    <w:p w14:paraId="0FDF350C" w14:textId="77777777" w:rsidR="00A25BC3" w:rsidRPr="00C36B3E" w:rsidRDefault="00A25BC3" w:rsidP="002411ED">
      <w:pPr>
        <w:spacing w:line="276" w:lineRule="auto"/>
        <w:jc w:val="both"/>
      </w:pPr>
      <w:r w:rsidRPr="00C36B3E">
        <w:rPr>
          <w:lang w:eastAsia="en-CA"/>
        </w:rPr>
        <w:t>Lengvai, vidutinio sunkumo ir sunkiai AD ištekliai buvo gauti iš Alzheimer's Society 2014 ataskaitos. UK kaštai buvo pakoreguoti pagal LT paslaugas, taikant PPP metodą.</w:t>
      </w:r>
      <w:r w:rsidRPr="00C36B3E">
        <w:t xml:space="preserve"> </w:t>
      </w:r>
      <w:r w:rsidRPr="00C36B3E">
        <w:rPr>
          <w:lang w:eastAsia="en-CA"/>
        </w:rPr>
        <w:t>Tarnybos vertinimu, PPP metodas gali būti taikomas tais atvejais, kai nėra galimybių kaštus įvertinti pagal Lietuvoje taikomas asmens sveikatos priežiūros paslaugas. Tarnyba vienu metu atlieka kelis vertinimus tai pačiai kompensuoti siūlomai indikacijai ir kitame vertinime pateikti išskaidyti kaštai ir asmens sveikatos priežiūros paslaugų poreikis skirtingoms pacientų būklėms. Siekiant vertinimų panašumo, tęstinumo Tarnyba lekanemabo paraiškoje taiko skirtingų sveikatos būklių kaštus, pagrįstus Lietuvoje taikomomis paslaugomis.</w:t>
      </w:r>
    </w:p>
    <w:p w14:paraId="0102B96C" w14:textId="77777777" w:rsidR="00A25BC3" w:rsidRPr="00C36B3E" w:rsidRDefault="00A25BC3" w:rsidP="002411ED">
      <w:pPr>
        <w:spacing w:line="276" w:lineRule="auto"/>
        <w:jc w:val="both"/>
        <w:rPr>
          <w:lang w:eastAsia="en-CA"/>
        </w:rPr>
      </w:pPr>
      <w:r w:rsidRPr="00C36B3E">
        <w:rPr>
          <w:lang w:eastAsia="en-CA"/>
        </w:rPr>
        <w:t>Tarnyba pabrėžia, jog pagrindinio atvejo analizė turi būti atliekama iš mokėtojo už PSDF paslaugas perspektyvos, o į analizę turi būti įtraukiami tik tiesiogiai su sveikatos sistema susiję kaštai. Pareiškėjo pateikiama informacija apie ne medicininius kaštus, socialinius kaštus, pacientą prižiūrinčių asmenų kaštus, paciento socialinius kaštus vertinama kaip papildoma informacija ir į pagrindinio atvejo analizės rezultatą yra neįtraukiami.</w:t>
      </w:r>
    </w:p>
    <w:p w14:paraId="60901037" w14:textId="1F872FFF" w:rsidR="00A25BC3" w:rsidRPr="00C36B3E" w:rsidRDefault="00A25BC3" w:rsidP="002411ED">
      <w:pPr>
        <w:spacing w:line="276" w:lineRule="auto"/>
        <w:jc w:val="both"/>
        <w:rPr>
          <w:rFonts w:eastAsia="Arial"/>
        </w:rPr>
      </w:pPr>
      <w:r w:rsidRPr="00C36B3E">
        <w:rPr>
          <w:rFonts w:eastAsia="Arial"/>
        </w:rPr>
        <w:t xml:space="preserve">Vertinant analizės rezultatą, nustatyta, jog lekanemabas sukuria </w:t>
      </w:r>
      <w:r w:rsidR="00D93CE6">
        <w:rPr>
          <w:rFonts w:eastAsia="Arial"/>
        </w:rPr>
        <w:t xml:space="preserve">*** </w:t>
      </w:r>
      <w:r w:rsidRPr="00C36B3E">
        <w:rPr>
          <w:rFonts w:eastAsia="Arial"/>
        </w:rPr>
        <w:t xml:space="preserve">papildomus QALY‘s ir </w:t>
      </w:r>
      <w:r w:rsidR="00252B76">
        <w:rPr>
          <w:i/>
          <w:iCs/>
          <w:lang w:eastAsia="lt-LT"/>
        </w:rPr>
        <w:t>***</w:t>
      </w:r>
      <w:r w:rsidR="00252B76" w:rsidRPr="00C36B3E">
        <w:rPr>
          <w:i/>
          <w:iCs/>
          <w:lang w:eastAsia="lt-LT"/>
        </w:rPr>
        <w:t xml:space="preserve"> </w:t>
      </w:r>
      <w:r w:rsidRPr="00C36B3E">
        <w:rPr>
          <w:rFonts w:eastAsia="Arial"/>
        </w:rPr>
        <w:t xml:space="preserve">papildomus LY‘s. Tarnyba pabrėžia, jog nėra klinikinių tyrimų, kurie pagrindžia lekanemabo naudą pacientų išgyvenamumui, todėl papildomi sugeneruojami gyvenimo metai turėtų būti vertinami su dvejone. Laikoma, jog ekonominės analizės rezultatas pasižymi neapibrėžtumu ir yra reikalinga papildoma bent </w:t>
      </w:r>
      <w:r w:rsidR="00D93CE6">
        <w:rPr>
          <w:rFonts w:eastAsia="Arial"/>
          <w:b/>
          <w:bCs/>
        </w:rPr>
        <w:t>**</w:t>
      </w:r>
      <w:r w:rsidRPr="00C36B3E">
        <w:rPr>
          <w:rFonts w:eastAsia="Arial"/>
          <w:b/>
          <w:bCs/>
        </w:rPr>
        <w:t xml:space="preserve"> proc.</w:t>
      </w:r>
      <w:r w:rsidRPr="00C36B3E">
        <w:rPr>
          <w:rFonts w:eastAsia="Arial"/>
        </w:rPr>
        <w:t xml:space="preserve"> nuolaida, siekiant, jog lekanemabas būtų kaštams naudingas.</w:t>
      </w:r>
    </w:p>
    <w:p w14:paraId="3A696281" w14:textId="77777777" w:rsidR="007F44AB" w:rsidRPr="00C36B3E" w:rsidRDefault="007F44AB" w:rsidP="00A25BC3">
      <w:pPr>
        <w:spacing w:line="280" w:lineRule="atLeast"/>
        <w:jc w:val="both"/>
        <w:rPr>
          <w:rFonts w:eastAsia="Arial"/>
        </w:rPr>
      </w:pPr>
    </w:p>
    <w:p w14:paraId="589B6940" w14:textId="77777777" w:rsidR="007F44AB" w:rsidRPr="00C36B3E" w:rsidRDefault="007F44AB" w:rsidP="007F44AB">
      <w:pPr>
        <w:tabs>
          <w:tab w:val="left" w:pos="426"/>
        </w:tabs>
        <w:rPr>
          <w:b/>
          <w:lang w:eastAsia="lt-LT"/>
        </w:rPr>
      </w:pPr>
      <w:r w:rsidRPr="00C36B3E">
        <w:rPr>
          <w:b/>
          <w:lang w:eastAsia="lt-LT"/>
        </w:rPr>
        <w:t>3.1 Ekonominės analizės rezultatas</w:t>
      </w:r>
    </w:p>
    <w:p w14:paraId="5D21A141" w14:textId="77777777" w:rsidR="007F44AB" w:rsidRPr="00C36B3E" w:rsidRDefault="007F44AB" w:rsidP="007F44AB">
      <w:pPr>
        <w:tabs>
          <w:tab w:val="left" w:pos="426"/>
        </w:tabs>
        <w:rPr>
          <w:b/>
          <w:lang w:eastAsia="lt-LT"/>
        </w:rPr>
      </w:pPr>
    </w:p>
    <w:tbl>
      <w:tblPr>
        <w:tblStyle w:val="Lentelstinklelis1"/>
        <w:tblW w:w="9439"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200"/>
        <w:gridCol w:w="3239"/>
      </w:tblGrid>
      <w:tr w:rsidR="007F44AB" w:rsidRPr="00C36B3E" w14:paraId="619979F0" w14:textId="77777777" w:rsidTr="00216CF9">
        <w:trPr>
          <w:trHeight w:val="344"/>
          <w:jc w:val="center"/>
        </w:trPr>
        <w:tc>
          <w:tcPr>
            <w:tcW w:w="9439" w:type="dxa"/>
            <w:gridSpan w:val="2"/>
            <w:tcBorders>
              <w:top w:val="single" w:sz="12" w:space="0" w:color="auto"/>
              <w:left w:val="single" w:sz="4" w:space="0" w:color="auto"/>
              <w:right w:val="single" w:sz="4" w:space="0" w:color="auto"/>
            </w:tcBorders>
            <w:vAlign w:val="center"/>
          </w:tcPr>
          <w:p w14:paraId="6E3425C2" w14:textId="77777777" w:rsidR="007F44AB" w:rsidRPr="00C36B3E" w:rsidRDefault="007F44AB" w:rsidP="00216CF9">
            <w:pPr>
              <w:tabs>
                <w:tab w:val="left" w:pos="567"/>
              </w:tabs>
              <w:jc w:val="center"/>
              <w:rPr>
                <w:b/>
                <w:bCs/>
                <w:lang w:eastAsia="lt-LT"/>
              </w:rPr>
            </w:pPr>
            <w:r w:rsidRPr="00C36B3E">
              <w:rPr>
                <w:b/>
                <w:bCs/>
                <w:lang w:eastAsia="lt-LT"/>
              </w:rPr>
              <w:t>Rezultatai</w:t>
            </w:r>
          </w:p>
        </w:tc>
      </w:tr>
      <w:tr w:rsidR="007F44AB" w:rsidRPr="00C36B3E" w14:paraId="1EFC6D88" w14:textId="77777777" w:rsidTr="00216CF9">
        <w:trPr>
          <w:trHeight w:val="267"/>
          <w:jc w:val="center"/>
        </w:trPr>
        <w:tc>
          <w:tcPr>
            <w:tcW w:w="6200" w:type="dxa"/>
            <w:tcBorders>
              <w:left w:val="single" w:sz="4" w:space="0" w:color="auto"/>
            </w:tcBorders>
          </w:tcPr>
          <w:p w14:paraId="57E7CCC5" w14:textId="77777777" w:rsidR="007F44AB" w:rsidRPr="00C36B3E" w:rsidRDefault="007F44AB" w:rsidP="00216CF9">
            <w:pPr>
              <w:tabs>
                <w:tab w:val="left" w:pos="567"/>
              </w:tabs>
              <w:jc w:val="right"/>
              <w:rPr>
                <w:iCs/>
                <w:lang w:eastAsia="lt-LT"/>
              </w:rPr>
            </w:pPr>
            <w:r w:rsidRPr="00C36B3E">
              <w:rPr>
                <w:iCs/>
                <w:lang w:eastAsia="lt-LT"/>
              </w:rPr>
              <w:t>Kaštų skirtumas</w:t>
            </w:r>
          </w:p>
        </w:tc>
        <w:tc>
          <w:tcPr>
            <w:tcW w:w="3238" w:type="dxa"/>
            <w:tcBorders>
              <w:right w:val="single" w:sz="4" w:space="0" w:color="auto"/>
            </w:tcBorders>
          </w:tcPr>
          <w:p w14:paraId="72A78093" w14:textId="03C524DF" w:rsidR="007F44AB" w:rsidRPr="00C36B3E" w:rsidRDefault="00D93CE6" w:rsidP="00216CF9">
            <w:pPr>
              <w:tabs>
                <w:tab w:val="left" w:pos="567"/>
              </w:tabs>
              <w:jc w:val="both"/>
              <w:rPr>
                <w:i/>
                <w:iCs/>
                <w:lang w:eastAsia="lt-LT"/>
              </w:rPr>
            </w:pPr>
            <w:r>
              <w:rPr>
                <w:i/>
                <w:iCs/>
                <w:lang w:eastAsia="lt-LT"/>
              </w:rPr>
              <w:t>***</w:t>
            </w:r>
            <w:r w:rsidR="007F44AB" w:rsidRPr="00C36B3E">
              <w:rPr>
                <w:i/>
                <w:iCs/>
                <w:lang w:eastAsia="lt-LT"/>
              </w:rPr>
              <w:t xml:space="preserve"> eur</w:t>
            </w:r>
          </w:p>
        </w:tc>
      </w:tr>
      <w:tr w:rsidR="007F44AB" w:rsidRPr="00C36B3E" w14:paraId="36575CF5" w14:textId="77777777" w:rsidTr="00216CF9">
        <w:trPr>
          <w:trHeight w:val="267"/>
          <w:jc w:val="center"/>
        </w:trPr>
        <w:tc>
          <w:tcPr>
            <w:tcW w:w="6200" w:type="dxa"/>
            <w:tcBorders>
              <w:left w:val="single" w:sz="4" w:space="0" w:color="auto"/>
            </w:tcBorders>
          </w:tcPr>
          <w:p w14:paraId="5502C40F" w14:textId="77777777" w:rsidR="007F44AB" w:rsidRPr="00C36B3E" w:rsidRDefault="007F44AB" w:rsidP="00216CF9">
            <w:pPr>
              <w:tabs>
                <w:tab w:val="left" w:pos="567"/>
              </w:tabs>
              <w:jc w:val="right"/>
              <w:rPr>
                <w:iCs/>
                <w:lang w:eastAsia="lt-LT"/>
              </w:rPr>
            </w:pPr>
            <w:r w:rsidRPr="00C36B3E">
              <w:rPr>
                <w:iCs/>
                <w:lang w:eastAsia="lt-LT"/>
              </w:rPr>
              <w:t>Papildomi gyvenimo metai (LY)</w:t>
            </w:r>
          </w:p>
        </w:tc>
        <w:tc>
          <w:tcPr>
            <w:tcW w:w="3238" w:type="dxa"/>
            <w:tcBorders>
              <w:right w:val="single" w:sz="4" w:space="0" w:color="auto"/>
            </w:tcBorders>
          </w:tcPr>
          <w:p w14:paraId="6628627E" w14:textId="23BCEE1E" w:rsidR="007F44AB" w:rsidRPr="00C36B3E" w:rsidRDefault="00D93CE6" w:rsidP="00216CF9">
            <w:pPr>
              <w:tabs>
                <w:tab w:val="left" w:pos="567"/>
              </w:tabs>
              <w:jc w:val="both"/>
              <w:rPr>
                <w:i/>
                <w:iCs/>
                <w:lang w:eastAsia="lt-LT"/>
              </w:rPr>
            </w:pPr>
            <w:r>
              <w:rPr>
                <w:i/>
                <w:iCs/>
                <w:lang w:eastAsia="lt-LT"/>
              </w:rPr>
              <w:t>***</w:t>
            </w:r>
          </w:p>
        </w:tc>
      </w:tr>
      <w:tr w:rsidR="007F44AB" w:rsidRPr="00C36B3E" w14:paraId="50624389" w14:textId="77777777" w:rsidTr="00216CF9">
        <w:trPr>
          <w:trHeight w:val="267"/>
          <w:jc w:val="center"/>
        </w:trPr>
        <w:tc>
          <w:tcPr>
            <w:tcW w:w="6200" w:type="dxa"/>
            <w:tcBorders>
              <w:left w:val="single" w:sz="4" w:space="0" w:color="auto"/>
            </w:tcBorders>
          </w:tcPr>
          <w:p w14:paraId="5095ED08" w14:textId="77777777" w:rsidR="007F44AB" w:rsidRPr="00C36B3E" w:rsidRDefault="007F44AB" w:rsidP="00216CF9">
            <w:pPr>
              <w:tabs>
                <w:tab w:val="left" w:pos="567"/>
              </w:tabs>
              <w:jc w:val="right"/>
              <w:rPr>
                <w:iCs/>
                <w:lang w:eastAsia="lt-LT"/>
              </w:rPr>
            </w:pPr>
            <w:r w:rsidRPr="00C36B3E">
              <w:rPr>
                <w:iCs/>
                <w:lang w:eastAsia="lt-LT"/>
              </w:rPr>
              <w:t>Papildomi kokybiški gyvenimo metai (QALY)</w:t>
            </w:r>
          </w:p>
        </w:tc>
        <w:tc>
          <w:tcPr>
            <w:tcW w:w="3238" w:type="dxa"/>
            <w:tcBorders>
              <w:right w:val="single" w:sz="4" w:space="0" w:color="auto"/>
            </w:tcBorders>
          </w:tcPr>
          <w:p w14:paraId="22B3376E" w14:textId="6E1E3B8B" w:rsidR="007F44AB" w:rsidRPr="00C36B3E" w:rsidRDefault="00D93CE6" w:rsidP="00216CF9">
            <w:pPr>
              <w:tabs>
                <w:tab w:val="left" w:pos="567"/>
              </w:tabs>
              <w:jc w:val="both"/>
              <w:rPr>
                <w:i/>
                <w:iCs/>
                <w:lang w:eastAsia="lt-LT"/>
              </w:rPr>
            </w:pPr>
            <w:r>
              <w:rPr>
                <w:i/>
                <w:iCs/>
                <w:lang w:eastAsia="lt-LT"/>
              </w:rPr>
              <w:t>***</w:t>
            </w:r>
          </w:p>
        </w:tc>
      </w:tr>
      <w:tr w:rsidR="007F44AB" w:rsidRPr="00C36B3E" w14:paraId="246C83B7" w14:textId="77777777" w:rsidTr="00216CF9">
        <w:trPr>
          <w:trHeight w:val="267"/>
          <w:jc w:val="center"/>
        </w:trPr>
        <w:tc>
          <w:tcPr>
            <w:tcW w:w="6200" w:type="dxa"/>
            <w:tcBorders>
              <w:left w:val="single" w:sz="4" w:space="0" w:color="auto"/>
            </w:tcBorders>
          </w:tcPr>
          <w:p w14:paraId="64C5D109" w14:textId="77777777" w:rsidR="007F44AB" w:rsidRPr="00C36B3E" w:rsidRDefault="007F44AB" w:rsidP="00216CF9">
            <w:pPr>
              <w:tabs>
                <w:tab w:val="left" w:pos="567"/>
              </w:tabs>
              <w:jc w:val="right"/>
              <w:rPr>
                <w:iCs/>
                <w:lang w:eastAsia="lt-LT"/>
              </w:rPr>
            </w:pPr>
            <w:r w:rsidRPr="00C36B3E">
              <w:rPr>
                <w:iCs/>
                <w:lang w:eastAsia="lt-LT"/>
              </w:rPr>
              <w:t>ICER už LY</w:t>
            </w:r>
          </w:p>
        </w:tc>
        <w:tc>
          <w:tcPr>
            <w:tcW w:w="3238" w:type="dxa"/>
            <w:tcBorders>
              <w:right w:val="single" w:sz="4" w:space="0" w:color="auto"/>
            </w:tcBorders>
          </w:tcPr>
          <w:p w14:paraId="13F12030" w14:textId="48041E0C" w:rsidR="007F44AB" w:rsidRPr="00C36B3E" w:rsidRDefault="00D93CE6" w:rsidP="00216CF9">
            <w:pPr>
              <w:tabs>
                <w:tab w:val="left" w:pos="567"/>
              </w:tabs>
              <w:jc w:val="both"/>
              <w:rPr>
                <w:i/>
                <w:iCs/>
                <w:lang w:eastAsia="lt-LT"/>
              </w:rPr>
            </w:pPr>
            <w:r>
              <w:rPr>
                <w:i/>
                <w:iCs/>
                <w:lang w:eastAsia="lt-LT"/>
              </w:rPr>
              <w:t>***</w:t>
            </w:r>
            <w:r w:rsidRPr="00C36B3E">
              <w:rPr>
                <w:i/>
                <w:iCs/>
                <w:lang w:eastAsia="lt-LT"/>
              </w:rPr>
              <w:t xml:space="preserve"> </w:t>
            </w:r>
            <w:r w:rsidR="007F44AB" w:rsidRPr="00C36B3E">
              <w:rPr>
                <w:i/>
                <w:iCs/>
                <w:lang w:eastAsia="lt-LT"/>
              </w:rPr>
              <w:t>eur/LY</w:t>
            </w:r>
          </w:p>
        </w:tc>
      </w:tr>
      <w:tr w:rsidR="007F44AB" w:rsidRPr="00C36B3E" w14:paraId="243BA101" w14:textId="77777777" w:rsidTr="00216CF9">
        <w:trPr>
          <w:trHeight w:val="267"/>
          <w:jc w:val="center"/>
        </w:trPr>
        <w:tc>
          <w:tcPr>
            <w:tcW w:w="6200" w:type="dxa"/>
            <w:tcBorders>
              <w:left w:val="single" w:sz="4" w:space="0" w:color="auto"/>
            </w:tcBorders>
          </w:tcPr>
          <w:p w14:paraId="7205D8BF" w14:textId="77777777" w:rsidR="007F44AB" w:rsidRPr="00C36B3E" w:rsidRDefault="007F44AB" w:rsidP="00216CF9">
            <w:pPr>
              <w:tabs>
                <w:tab w:val="left" w:pos="567"/>
              </w:tabs>
              <w:jc w:val="right"/>
              <w:rPr>
                <w:iCs/>
                <w:lang w:eastAsia="lt-LT"/>
              </w:rPr>
            </w:pPr>
            <w:r w:rsidRPr="00C36B3E">
              <w:rPr>
                <w:iCs/>
                <w:lang w:eastAsia="lt-LT"/>
              </w:rPr>
              <w:t>ICER už QALY</w:t>
            </w:r>
          </w:p>
        </w:tc>
        <w:tc>
          <w:tcPr>
            <w:tcW w:w="3238" w:type="dxa"/>
            <w:tcBorders>
              <w:right w:val="single" w:sz="4" w:space="0" w:color="auto"/>
            </w:tcBorders>
          </w:tcPr>
          <w:p w14:paraId="65590C59" w14:textId="1B77152E" w:rsidR="007F44AB" w:rsidRPr="00C36B3E" w:rsidRDefault="00D93CE6" w:rsidP="00216CF9">
            <w:pPr>
              <w:tabs>
                <w:tab w:val="left" w:pos="567"/>
              </w:tabs>
              <w:jc w:val="both"/>
              <w:rPr>
                <w:i/>
                <w:iCs/>
                <w:lang w:eastAsia="lt-LT"/>
              </w:rPr>
            </w:pPr>
            <w:r>
              <w:rPr>
                <w:i/>
                <w:iCs/>
                <w:lang w:eastAsia="lt-LT"/>
              </w:rPr>
              <w:t>***</w:t>
            </w:r>
            <w:r w:rsidRPr="00C36B3E">
              <w:rPr>
                <w:i/>
                <w:iCs/>
                <w:lang w:eastAsia="lt-LT"/>
              </w:rPr>
              <w:t xml:space="preserve"> </w:t>
            </w:r>
            <w:r w:rsidR="007F44AB" w:rsidRPr="00C36B3E">
              <w:rPr>
                <w:i/>
                <w:iCs/>
                <w:lang w:eastAsia="lt-LT"/>
              </w:rPr>
              <w:t>eur/QALY</w:t>
            </w:r>
          </w:p>
        </w:tc>
      </w:tr>
      <w:tr w:rsidR="007F44AB" w:rsidRPr="00C36B3E" w14:paraId="3DFC70D4" w14:textId="77777777" w:rsidTr="00216CF9">
        <w:trPr>
          <w:trHeight w:val="267"/>
          <w:jc w:val="center"/>
        </w:trPr>
        <w:tc>
          <w:tcPr>
            <w:tcW w:w="6200" w:type="dxa"/>
            <w:tcBorders>
              <w:left w:val="single" w:sz="4" w:space="0" w:color="auto"/>
              <w:bottom w:val="single" w:sz="4" w:space="0" w:color="auto"/>
              <w:right w:val="single" w:sz="4" w:space="0" w:color="auto"/>
            </w:tcBorders>
          </w:tcPr>
          <w:p w14:paraId="1E9C61B5" w14:textId="77777777" w:rsidR="007F44AB" w:rsidRPr="00C36B3E" w:rsidRDefault="007F44AB" w:rsidP="00216CF9">
            <w:pPr>
              <w:tabs>
                <w:tab w:val="left" w:pos="567"/>
              </w:tabs>
              <w:jc w:val="right"/>
              <w:rPr>
                <w:iCs/>
                <w:lang w:eastAsia="lt-LT"/>
              </w:rPr>
            </w:pPr>
            <w:r w:rsidRPr="00C36B3E">
              <w:rPr>
                <w:iCs/>
                <w:lang w:eastAsia="lt-LT"/>
              </w:rPr>
              <w:t>Referencinė kaštų naudingumo vertė</w:t>
            </w:r>
          </w:p>
        </w:tc>
        <w:tc>
          <w:tcPr>
            <w:tcW w:w="3238" w:type="dxa"/>
            <w:tcBorders>
              <w:left w:val="single" w:sz="4" w:space="0" w:color="auto"/>
              <w:bottom w:val="single" w:sz="4" w:space="0" w:color="auto"/>
              <w:right w:val="single" w:sz="4" w:space="0" w:color="auto"/>
            </w:tcBorders>
          </w:tcPr>
          <w:p w14:paraId="705D1506" w14:textId="7EFC6108" w:rsidR="007F44AB" w:rsidRPr="00C36B3E" w:rsidRDefault="00D93CE6" w:rsidP="00216CF9">
            <w:pPr>
              <w:tabs>
                <w:tab w:val="left" w:pos="567"/>
              </w:tabs>
              <w:jc w:val="both"/>
              <w:rPr>
                <w:i/>
                <w:iCs/>
                <w:lang w:eastAsia="lt-LT"/>
              </w:rPr>
            </w:pPr>
            <w:r>
              <w:rPr>
                <w:i/>
                <w:iCs/>
                <w:lang w:eastAsia="lt-LT"/>
              </w:rPr>
              <w:t>***</w:t>
            </w:r>
            <w:r w:rsidRPr="00C36B3E">
              <w:rPr>
                <w:i/>
                <w:iCs/>
                <w:lang w:eastAsia="lt-LT"/>
              </w:rPr>
              <w:t xml:space="preserve"> </w:t>
            </w:r>
            <w:r w:rsidR="007F44AB" w:rsidRPr="00C36B3E">
              <w:rPr>
                <w:i/>
                <w:iCs/>
                <w:lang w:eastAsia="lt-LT"/>
              </w:rPr>
              <w:t>eur/QALY</w:t>
            </w:r>
          </w:p>
        </w:tc>
      </w:tr>
    </w:tbl>
    <w:p w14:paraId="1881535A" w14:textId="77777777" w:rsidR="007F44AB" w:rsidRPr="00C36B3E" w:rsidRDefault="007F44AB" w:rsidP="007F44AB">
      <w:pPr>
        <w:tabs>
          <w:tab w:val="left" w:pos="567"/>
        </w:tabs>
        <w:jc w:val="both"/>
        <w:rPr>
          <w:iCs/>
          <w:sz w:val="20"/>
          <w:lang w:eastAsia="lt-LT"/>
        </w:rPr>
      </w:pPr>
      <w:r w:rsidRPr="00C36B3E">
        <w:rPr>
          <w:iCs/>
          <w:sz w:val="20"/>
          <w:lang w:eastAsia="lt-LT"/>
        </w:rPr>
        <w:t>ICER – (</w:t>
      </w:r>
      <w:r w:rsidRPr="00C36B3E">
        <w:rPr>
          <w:i/>
          <w:sz w:val="20"/>
          <w:lang w:eastAsia="lt-LT"/>
        </w:rPr>
        <w:t>angl. incremental cost-effectiveness ratio</w:t>
      </w:r>
      <w:r w:rsidRPr="00C36B3E">
        <w:rPr>
          <w:iCs/>
          <w:sz w:val="20"/>
          <w:lang w:eastAsia="lt-LT"/>
        </w:rPr>
        <w:t>) inkrementinis kaštų naudingumo koeficientas; LY – (</w:t>
      </w:r>
      <w:r w:rsidRPr="00C36B3E">
        <w:rPr>
          <w:i/>
          <w:sz w:val="20"/>
          <w:lang w:eastAsia="lt-LT"/>
        </w:rPr>
        <w:t>angl. life years</w:t>
      </w:r>
      <w:r w:rsidRPr="00C36B3E">
        <w:rPr>
          <w:iCs/>
          <w:sz w:val="20"/>
          <w:lang w:eastAsia="lt-LT"/>
        </w:rPr>
        <w:t>) gyvenimo metai; QALY- (</w:t>
      </w:r>
      <w:r w:rsidRPr="00C36B3E">
        <w:rPr>
          <w:i/>
          <w:sz w:val="20"/>
          <w:lang w:eastAsia="lt-LT"/>
        </w:rPr>
        <w:t xml:space="preserve">angl. quality adjusted life years) </w:t>
      </w:r>
      <w:r w:rsidRPr="00C36B3E">
        <w:rPr>
          <w:iCs/>
          <w:sz w:val="20"/>
          <w:lang w:eastAsia="lt-LT"/>
        </w:rPr>
        <w:t>kokybiški gyvenimo metai.</w:t>
      </w:r>
    </w:p>
    <w:p w14:paraId="5F610C41" w14:textId="77777777" w:rsidR="00A25BC3" w:rsidRPr="00C36B3E" w:rsidRDefault="00A25BC3" w:rsidP="00A93AA6">
      <w:pPr>
        <w:tabs>
          <w:tab w:val="left" w:pos="426"/>
        </w:tabs>
        <w:rPr>
          <w:b/>
          <w:bCs/>
          <w:caps/>
        </w:rPr>
      </w:pPr>
    </w:p>
    <w:p w14:paraId="4FC424F9" w14:textId="4E767245" w:rsidR="00C62B36" w:rsidRPr="00C36B3E" w:rsidRDefault="00C62B36" w:rsidP="00CC09D4">
      <w:pPr>
        <w:pStyle w:val="Sraopastraipa"/>
        <w:numPr>
          <w:ilvl w:val="0"/>
          <w:numId w:val="12"/>
        </w:numPr>
        <w:tabs>
          <w:tab w:val="left" w:pos="567"/>
        </w:tabs>
        <w:ind w:hanging="720"/>
        <w:rPr>
          <w:b/>
          <w:bCs/>
          <w:caps/>
        </w:rPr>
      </w:pPr>
      <w:r w:rsidRPr="00C36B3E">
        <w:rPr>
          <w:b/>
          <w:bCs/>
          <w:caps/>
        </w:rPr>
        <w:t xml:space="preserve">Pacientų organizacijų pateikti duomenys </w:t>
      </w:r>
    </w:p>
    <w:p w14:paraId="54351841" w14:textId="77777777" w:rsidR="00C9728E" w:rsidRPr="00C36B3E" w:rsidRDefault="00C9728E" w:rsidP="00C9728E">
      <w:pPr>
        <w:pStyle w:val="Sraopastraipa"/>
        <w:tabs>
          <w:tab w:val="left" w:pos="567"/>
        </w:tabs>
        <w:rPr>
          <w:b/>
          <w:bCs/>
          <w:caps/>
        </w:rPr>
      </w:pPr>
    </w:p>
    <w:p w14:paraId="62992180" w14:textId="1CDAE711" w:rsidR="00937907" w:rsidRPr="00C36B3E" w:rsidRDefault="00937907" w:rsidP="00937907">
      <w:pPr>
        <w:spacing w:after="120"/>
        <w:jc w:val="both"/>
      </w:pPr>
      <w:r w:rsidRPr="00C36B3E">
        <w:t xml:space="preserve">Pacientų organizacijos pozicija </w:t>
      </w:r>
      <w:r w:rsidR="00880A44" w:rsidRPr="00C36B3E">
        <w:t>ne</w:t>
      </w:r>
      <w:r w:rsidRPr="00C36B3E">
        <w:t>pateikta.</w:t>
      </w:r>
    </w:p>
    <w:p w14:paraId="03E73D82" w14:textId="77777777" w:rsidR="00D417D2" w:rsidRPr="00C36B3E" w:rsidRDefault="00D417D2" w:rsidP="00937907">
      <w:pPr>
        <w:spacing w:after="120"/>
        <w:jc w:val="both"/>
      </w:pPr>
    </w:p>
    <w:p w14:paraId="3D3277FA" w14:textId="09414FFF" w:rsidR="00C62B36" w:rsidRPr="00C36B3E" w:rsidRDefault="00D67BAF" w:rsidP="00CC09D4">
      <w:pPr>
        <w:pStyle w:val="Sraopastraipa"/>
        <w:numPr>
          <w:ilvl w:val="0"/>
          <w:numId w:val="12"/>
        </w:numPr>
        <w:tabs>
          <w:tab w:val="left" w:pos="567"/>
        </w:tabs>
        <w:ind w:hanging="720"/>
        <w:rPr>
          <w:b/>
          <w:bCs/>
          <w:caps/>
        </w:rPr>
      </w:pPr>
      <w:r w:rsidRPr="00C36B3E">
        <w:rPr>
          <w:b/>
          <w:bCs/>
          <w:caps/>
        </w:rPr>
        <w:t xml:space="preserve">SVEIKATOS PRIEŽIŪROS SPECIALISTŲ </w:t>
      </w:r>
      <w:r w:rsidR="00C62B36" w:rsidRPr="00C36B3E">
        <w:rPr>
          <w:b/>
          <w:bCs/>
          <w:caps/>
        </w:rPr>
        <w:t xml:space="preserve"> organizacijų pateikti duomenys</w:t>
      </w:r>
    </w:p>
    <w:p w14:paraId="044D5084" w14:textId="77777777" w:rsidR="00C9728E" w:rsidRPr="00C36B3E" w:rsidRDefault="00C9728E" w:rsidP="00C9728E">
      <w:pPr>
        <w:pStyle w:val="Sraopastraipa"/>
        <w:tabs>
          <w:tab w:val="left" w:pos="567"/>
        </w:tabs>
        <w:rPr>
          <w:b/>
          <w:bCs/>
          <w:caps/>
        </w:rPr>
      </w:pPr>
    </w:p>
    <w:p w14:paraId="5D8CC48C" w14:textId="6E426D65" w:rsidR="00662983" w:rsidRPr="00C36B3E" w:rsidRDefault="00D67BAF" w:rsidP="00662983">
      <w:pPr>
        <w:spacing w:after="120"/>
        <w:jc w:val="both"/>
      </w:pPr>
      <w:r w:rsidRPr="00C36B3E">
        <w:t>S</w:t>
      </w:r>
      <w:r w:rsidRPr="00C36B3E">
        <w:rPr>
          <w:bCs/>
        </w:rPr>
        <w:t>veikatos priežiūros specialistų</w:t>
      </w:r>
      <w:r w:rsidR="00937907" w:rsidRPr="00C36B3E">
        <w:t xml:space="preserve"> organizacijos pozicija </w:t>
      </w:r>
      <w:r w:rsidR="00880A44" w:rsidRPr="00C36B3E">
        <w:t>ne</w:t>
      </w:r>
      <w:r w:rsidR="00937907" w:rsidRPr="00C36B3E">
        <w:t>pateikta.</w:t>
      </w:r>
    </w:p>
    <w:p w14:paraId="3701D46A" w14:textId="77777777" w:rsidR="00A042B9" w:rsidRPr="00C36B3E" w:rsidRDefault="00A042B9" w:rsidP="00662983">
      <w:pPr>
        <w:spacing w:after="120"/>
        <w:jc w:val="both"/>
      </w:pPr>
    </w:p>
    <w:p w14:paraId="78F23ECB" w14:textId="3ED5BFD5" w:rsidR="002F0E4F" w:rsidRPr="00C36B3E" w:rsidRDefault="002F0E4F" w:rsidP="00CC09D4">
      <w:pPr>
        <w:pStyle w:val="Sraopastraipa"/>
        <w:numPr>
          <w:ilvl w:val="0"/>
          <w:numId w:val="12"/>
        </w:numPr>
        <w:tabs>
          <w:tab w:val="left" w:pos="567"/>
        </w:tabs>
        <w:ind w:hanging="720"/>
        <w:rPr>
          <w:b/>
          <w:bCs/>
          <w:caps/>
        </w:rPr>
      </w:pPr>
      <w:r w:rsidRPr="00C36B3E">
        <w:rPr>
          <w:b/>
          <w:bCs/>
          <w:caps/>
        </w:rPr>
        <w:t>Išvad</w:t>
      </w:r>
      <w:r w:rsidR="00B811A4" w:rsidRPr="00C36B3E">
        <w:rPr>
          <w:b/>
          <w:bCs/>
          <w:caps/>
        </w:rPr>
        <w:t>OS</w:t>
      </w:r>
      <w:r w:rsidRPr="00C36B3E">
        <w:rPr>
          <w:b/>
          <w:bCs/>
          <w:caps/>
        </w:rPr>
        <w:t xml:space="preserve"> </w:t>
      </w:r>
    </w:p>
    <w:p w14:paraId="30069D85" w14:textId="77777777" w:rsidR="0061611B" w:rsidRPr="00C36B3E" w:rsidRDefault="0061611B" w:rsidP="0061611B">
      <w:pPr>
        <w:ind w:left="360"/>
        <w:rPr>
          <w:i/>
          <w:szCs w:val="22"/>
        </w:rPr>
      </w:pPr>
    </w:p>
    <w:tbl>
      <w:tblPr>
        <w:tblStyle w:val="Lentelstinklelis"/>
        <w:tblW w:w="0" w:type="auto"/>
        <w:tblInd w:w="-5" w:type="dxa"/>
        <w:tblLook w:val="04A0" w:firstRow="1" w:lastRow="0" w:firstColumn="1" w:lastColumn="0" w:noHBand="0" w:noVBand="1"/>
      </w:tblPr>
      <w:tblGrid>
        <w:gridCol w:w="4820"/>
        <w:gridCol w:w="4814"/>
      </w:tblGrid>
      <w:tr w:rsidR="00334F18" w:rsidRPr="00C36B3E" w14:paraId="4D5EFB83" w14:textId="77777777" w:rsidTr="007111C4">
        <w:trPr>
          <w:trHeight w:val="510"/>
        </w:trPr>
        <w:tc>
          <w:tcPr>
            <w:tcW w:w="9634" w:type="dxa"/>
            <w:gridSpan w:val="2"/>
            <w:vAlign w:val="center"/>
          </w:tcPr>
          <w:p w14:paraId="294EC16B"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bookmarkStart w:id="1" w:name="_Hlk185430554"/>
            <w:r w:rsidRPr="00C36B3E">
              <w:rPr>
                <w:rStyle w:val="Style2"/>
                <w:rFonts w:eastAsia="MS Gothic"/>
                <w:b/>
                <w:bCs/>
                <w:sz w:val="23"/>
                <w:szCs w:val="23"/>
              </w:rPr>
              <w:t>Palyginamasis veiksmingumas</w:t>
            </w:r>
          </w:p>
        </w:tc>
      </w:tr>
      <w:tr w:rsidR="00334F18" w:rsidRPr="00C36B3E" w14:paraId="30B67515" w14:textId="77777777" w:rsidTr="007111C4">
        <w:tc>
          <w:tcPr>
            <w:tcW w:w="4820" w:type="dxa"/>
          </w:tcPr>
          <w:p w14:paraId="4FE3C208" w14:textId="542FFCE1"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397324644"/>
                <w15:color w:val="FFCC00"/>
                <w14:checkbox>
                  <w14:checked w14:val="1"/>
                  <w14:checkedState w14:val="2612" w14:font="MS Gothic"/>
                  <w14:uncheckedState w14:val="2610" w14:font="MS Gothic"/>
                </w14:checkbox>
              </w:sdtPr>
              <w:sdtEndPr>
                <w:rPr>
                  <w:rStyle w:val="Style2"/>
                </w:rPr>
              </w:sdtEndPr>
              <w:sdtContent>
                <w:r w:rsidR="00CF41E6" w:rsidRPr="00C36B3E">
                  <w:rPr>
                    <w:rStyle w:val="Style2"/>
                    <w:rFonts w:ascii="MS Gothic" w:eastAsia="MS Gothic" w:hAnsi="MS Gothic"/>
                    <w:sz w:val="23"/>
                    <w:szCs w:val="23"/>
                  </w:rPr>
                  <w:t>☒</w:t>
                </w:r>
              </w:sdtContent>
            </w:sdt>
            <w:r w:rsidR="00B811A4" w:rsidRPr="00C36B3E">
              <w:rPr>
                <w:rStyle w:val="Style2"/>
                <w:sz w:val="23"/>
                <w:szCs w:val="23"/>
              </w:rPr>
              <w:t xml:space="preserve"> 29</w:t>
            </w:r>
            <w:r w:rsidR="00B811A4" w:rsidRPr="00C36B3E">
              <w:rPr>
                <w:sz w:val="23"/>
                <w:szCs w:val="23"/>
              </w:rPr>
              <w:t>.1.1 yra didesnis, lyginant su įprasta klinikine praktika</w:t>
            </w:r>
          </w:p>
          <w:p w14:paraId="6F9786E4"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31EDECD" w14:textId="6F3B4936"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418297090"/>
                <w15:color w:val="FFCC00"/>
                <w14:checkbox>
                  <w14:checked w14:val="0"/>
                  <w14:checkedState w14:val="2612" w14:font="MS Gothic"/>
                  <w14:uncheckedState w14:val="2610" w14:font="MS Gothic"/>
                </w14:checkbox>
              </w:sdtPr>
              <w:sdtEndPr>
                <w:rPr>
                  <w:rStyle w:val="Style2"/>
                </w:rPr>
              </w:sdtEndPr>
              <w:sdtContent>
                <w:r w:rsidR="00CF41E6" w:rsidRPr="00C36B3E">
                  <w:rPr>
                    <w:rStyle w:val="Style2"/>
                    <w:rFonts w:ascii="MS Gothic" w:eastAsia="MS Gothic" w:hAnsi="MS Gothic"/>
                    <w:sz w:val="23"/>
                    <w:szCs w:val="23"/>
                  </w:rPr>
                  <w:t>☐</w:t>
                </w:r>
              </w:sdtContent>
            </w:sdt>
            <w:r w:rsidR="00B811A4" w:rsidRPr="00C36B3E">
              <w:rPr>
                <w:sz w:val="23"/>
                <w:szCs w:val="23"/>
              </w:rPr>
              <w:t xml:space="preserve"> </w:t>
            </w:r>
            <w:r w:rsidR="00B811A4" w:rsidRPr="00C36B3E">
              <w:rPr>
                <w:rStyle w:val="Style2"/>
                <w:sz w:val="23"/>
                <w:szCs w:val="23"/>
              </w:rPr>
              <w:t>29</w:t>
            </w:r>
            <w:r w:rsidR="00B811A4" w:rsidRPr="00C36B3E">
              <w:rPr>
                <w:sz w:val="23"/>
                <w:szCs w:val="23"/>
              </w:rPr>
              <w:t>.1.2 iš esmės nesiskiria, lyginant su įprasta klinikine praktika</w:t>
            </w:r>
          </w:p>
        </w:tc>
        <w:tc>
          <w:tcPr>
            <w:tcW w:w="4814" w:type="dxa"/>
          </w:tcPr>
          <w:p w14:paraId="72562F9E" w14:textId="77777777"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24755596"/>
                <w15:color w:val="FFCC00"/>
                <w14:checkbox>
                  <w14:checked w14:val="0"/>
                  <w14:checkedState w14:val="2612" w14:font="MS Gothic"/>
                  <w14:uncheckedState w14:val="2610" w14:font="MS Gothic"/>
                </w14:checkbox>
              </w:sdtPr>
              <w:sdtEndPr>
                <w:rPr>
                  <w:rStyle w:val="Style2"/>
                </w:rPr>
              </w:sdtEndPr>
              <w:sdtContent>
                <w:r w:rsidR="00B811A4" w:rsidRPr="00C36B3E">
                  <w:rPr>
                    <w:rStyle w:val="Style2"/>
                    <w:rFonts w:ascii="Segoe UI Symbol" w:eastAsia="MS Gothic" w:hAnsi="Segoe UI Symbol" w:cs="Segoe UI Symbol"/>
                    <w:sz w:val="23"/>
                    <w:szCs w:val="23"/>
                  </w:rPr>
                  <w:t>☐</w:t>
                </w:r>
              </w:sdtContent>
            </w:sdt>
            <w:r w:rsidR="00B811A4" w:rsidRPr="00C36B3E">
              <w:rPr>
                <w:sz w:val="23"/>
                <w:szCs w:val="23"/>
              </w:rPr>
              <w:t xml:space="preserve"> </w:t>
            </w:r>
            <w:r w:rsidR="00B811A4" w:rsidRPr="00C36B3E">
              <w:rPr>
                <w:rStyle w:val="Style2"/>
                <w:sz w:val="23"/>
                <w:szCs w:val="23"/>
              </w:rPr>
              <w:t>29</w:t>
            </w:r>
            <w:r w:rsidR="00B811A4" w:rsidRPr="00C36B3E">
              <w:rPr>
                <w:sz w:val="23"/>
                <w:szCs w:val="23"/>
              </w:rPr>
              <w:t xml:space="preserve">.1.3 yra neįrodytas kaip didesnis  ar iš esmės nesiskiriantis, lyginant su įprasta klinikine praktika  </w:t>
            </w:r>
          </w:p>
          <w:p w14:paraId="6F6DB5BC"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EE1D885" w14:textId="77777777"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62168479"/>
                <w15:color w:val="FFCC00"/>
                <w14:checkbox>
                  <w14:checked w14:val="0"/>
                  <w14:checkedState w14:val="2612" w14:font="MS Gothic"/>
                  <w14:uncheckedState w14:val="2610" w14:font="MS Gothic"/>
                </w14:checkbox>
              </w:sdtPr>
              <w:sdtEndPr>
                <w:rPr>
                  <w:rStyle w:val="Style2"/>
                </w:rPr>
              </w:sdtEndPr>
              <w:sdtContent>
                <w:r w:rsidR="00B811A4" w:rsidRPr="00C36B3E">
                  <w:rPr>
                    <w:rStyle w:val="Style2"/>
                    <w:rFonts w:ascii="Segoe UI Symbol" w:eastAsia="MS Gothic" w:hAnsi="Segoe UI Symbol" w:cs="Segoe UI Symbol"/>
                    <w:sz w:val="23"/>
                    <w:szCs w:val="23"/>
                  </w:rPr>
                  <w:t>☐</w:t>
                </w:r>
              </w:sdtContent>
            </w:sdt>
            <w:r w:rsidR="00B811A4" w:rsidRPr="00C36B3E">
              <w:rPr>
                <w:sz w:val="23"/>
                <w:szCs w:val="23"/>
              </w:rPr>
              <w:t xml:space="preserve"> </w:t>
            </w:r>
            <w:r w:rsidR="00B811A4" w:rsidRPr="00C36B3E">
              <w:rPr>
                <w:rStyle w:val="Style2"/>
                <w:sz w:val="23"/>
                <w:szCs w:val="23"/>
              </w:rPr>
              <w:t>29</w:t>
            </w:r>
            <w:r w:rsidR="00B811A4" w:rsidRPr="00C36B3E">
              <w:rPr>
                <w:sz w:val="23"/>
                <w:szCs w:val="23"/>
              </w:rPr>
              <w:t>.1.4 yra mažesnis, lyginant su įprasta klinikine praktika</w:t>
            </w:r>
          </w:p>
          <w:p w14:paraId="193C3D76"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370E94DC" w14:textId="4EC80DB9"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1857960180"/>
                <w15:color w:val="FFCC00"/>
                <w14:checkbox>
                  <w14:checked w14:val="0"/>
                  <w14:checkedState w14:val="2612" w14:font="MS Gothic"/>
                  <w14:uncheckedState w14:val="2610" w14:font="MS Gothic"/>
                </w14:checkbox>
              </w:sdtPr>
              <w:sdtEndPr>
                <w:rPr>
                  <w:rStyle w:val="Style2"/>
                </w:rPr>
              </w:sdtEndPr>
              <w:sdtContent>
                <w:r w:rsidR="00B811A4" w:rsidRPr="00C36B3E">
                  <w:rPr>
                    <w:rStyle w:val="Style2"/>
                    <w:rFonts w:ascii="Segoe UI Symbol" w:eastAsia="MS Gothic" w:hAnsi="Segoe UI Symbol" w:cs="Segoe UI Symbol"/>
                    <w:sz w:val="23"/>
                    <w:szCs w:val="23"/>
                  </w:rPr>
                  <w:t>☐</w:t>
                </w:r>
              </w:sdtContent>
            </w:sdt>
            <w:r w:rsidR="00B811A4" w:rsidRPr="00C36B3E">
              <w:rPr>
                <w:sz w:val="23"/>
                <w:szCs w:val="23"/>
              </w:rPr>
              <w:t xml:space="preserve"> </w:t>
            </w:r>
            <w:r w:rsidR="00B811A4" w:rsidRPr="00C36B3E">
              <w:rPr>
                <w:rStyle w:val="Style2"/>
                <w:sz w:val="23"/>
                <w:szCs w:val="23"/>
              </w:rPr>
              <w:t>29</w:t>
            </w:r>
            <w:r w:rsidR="00B811A4" w:rsidRPr="00C36B3E">
              <w:rPr>
                <w:sz w:val="23"/>
                <w:szCs w:val="23"/>
              </w:rPr>
              <w:t>.1.5 pateikti duomenys apie palyginamąjį veiksmingumą yra netinkami vertinti</w:t>
            </w:r>
          </w:p>
          <w:p w14:paraId="45719037"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bookmarkEnd w:id="1"/>
      <w:tr w:rsidR="00334F18" w:rsidRPr="00C36B3E" w14:paraId="0E0F5168" w14:textId="77777777" w:rsidTr="00743956">
        <w:trPr>
          <w:trHeight w:val="510"/>
        </w:trPr>
        <w:tc>
          <w:tcPr>
            <w:tcW w:w="9634" w:type="dxa"/>
            <w:gridSpan w:val="2"/>
            <w:vAlign w:val="center"/>
          </w:tcPr>
          <w:p w14:paraId="62B67E12"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Style2"/>
                <w:rFonts w:eastAsia="MS Gothic"/>
                <w:b/>
                <w:bCs/>
                <w:sz w:val="23"/>
                <w:szCs w:val="23"/>
              </w:rPr>
            </w:pPr>
            <w:r w:rsidRPr="00C36B3E">
              <w:rPr>
                <w:rStyle w:val="Style2"/>
                <w:rFonts w:eastAsia="MS Gothic"/>
                <w:b/>
                <w:bCs/>
                <w:sz w:val="23"/>
                <w:szCs w:val="23"/>
              </w:rPr>
              <w:t>Kaštų naudingumas</w:t>
            </w:r>
          </w:p>
        </w:tc>
      </w:tr>
      <w:tr w:rsidR="00334F18" w:rsidRPr="00C36B3E" w14:paraId="6A2F62B2" w14:textId="77777777" w:rsidTr="00743956">
        <w:tc>
          <w:tcPr>
            <w:tcW w:w="4820" w:type="dxa"/>
          </w:tcPr>
          <w:p w14:paraId="7CB2C697" w14:textId="44A4E1DF"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301657889"/>
                <w15:color w:val="FFCC00"/>
                <w14:checkbox>
                  <w14:checked w14:val="0"/>
                  <w14:checkedState w14:val="2612" w14:font="MS Gothic"/>
                  <w14:uncheckedState w14:val="2610" w14:font="MS Gothic"/>
                </w14:checkbox>
              </w:sdtPr>
              <w:sdtEndPr>
                <w:rPr>
                  <w:rStyle w:val="Style2"/>
                </w:rPr>
              </w:sdtEndPr>
              <w:sdtContent>
                <w:r w:rsidR="00B811A4" w:rsidRPr="00C36B3E">
                  <w:rPr>
                    <w:rStyle w:val="Style2"/>
                    <w:rFonts w:ascii="Segoe UI Symbol" w:eastAsia="MS Gothic" w:hAnsi="Segoe UI Symbol" w:cs="Segoe UI Symbol"/>
                    <w:sz w:val="23"/>
                    <w:szCs w:val="23"/>
                  </w:rPr>
                  <w:t>☐</w:t>
                </w:r>
              </w:sdtContent>
            </w:sdt>
            <w:r w:rsidR="00B811A4" w:rsidRPr="00C36B3E">
              <w:rPr>
                <w:sz w:val="23"/>
                <w:szCs w:val="23"/>
              </w:rPr>
              <w:t xml:space="preserve"> 29.2.1 atitinka referencinę naudingumo vertę taikant arba netaikant</w:t>
            </w:r>
            <w:r w:rsidR="00437623" w:rsidRPr="00C36B3E">
              <w:rPr>
                <w:b/>
                <w:bCs/>
                <w:sz w:val="23"/>
                <w:szCs w:val="23"/>
              </w:rPr>
              <w:t xml:space="preserve"> </w:t>
            </w:r>
            <w:r w:rsidR="00B811A4" w:rsidRPr="00C36B3E">
              <w:rPr>
                <w:sz w:val="23"/>
                <w:szCs w:val="23"/>
              </w:rPr>
              <w:t>PGS</w:t>
            </w:r>
          </w:p>
          <w:p w14:paraId="71797774"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BE88CDB" w14:textId="60C4FFA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c>
          <w:tcPr>
            <w:tcW w:w="4814" w:type="dxa"/>
          </w:tcPr>
          <w:p w14:paraId="0370A72C" w14:textId="5B6F5458"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sdt>
              <w:sdtPr>
                <w:rPr>
                  <w:rStyle w:val="Style2"/>
                  <w:sz w:val="23"/>
                  <w:szCs w:val="23"/>
                </w:rPr>
                <w:id w:val="791860283"/>
                <w15:color w:val="FFCC00"/>
                <w14:checkbox>
                  <w14:checked w14:val="1"/>
                  <w14:checkedState w14:val="2612" w14:font="MS Gothic"/>
                  <w14:uncheckedState w14:val="2610" w14:font="MS Gothic"/>
                </w14:checkbox>
              </w:sdtPr>
              <w:sdtEndPr>
                <w:rPr>
                  <w:rStyle w:val="Style2"/>
                </w:rPr>
              </w:sdtEndPr>
              <w:sdtContent>
                <w:r w:rsidR="00A25BC3" w:rsidRPr="00C36B3E">
                  <w:rPr>
                    <w:rStyle w:val="Style2"/>
                    <w:rFonts w:ascii="MS Gothic" w:eastAsia="MS Gothic" w:hAnsi="MS Gothic"/>
                    <w:sz w:val="23"/>
                    <w:szCs w:val="23"/>
                  </w:rPr>
                  <w:t>☒</w:t>
                </w:r>
              </w:sdtContent>
            </w:sdt>
            <w:r w:rsidR="00B811A4" w:rsidRPr="00C36B3E">
              <w:rPr>
                <w:sz w:val="23"/>
                <w:szCs w:val="23"/>
              </w:rPr>
              <w:t xml:space="preserve"> 29.2.3 neatitinka referencinės naudingumo vertės taikant arba netaikant PGS</w:t>
            </w:r>
          </w:p>
          <w:p w14:paraId="13C9EEE5"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289E6691"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3"/>
                <w:szCs w:val="23"/>
              </w:rPr>
            </w:pPr>
          </w:p>
          <w:p w14:paraId="5FD1976C" w14:textId="77777777" w:rsidR="00B811A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3"/>
                <w:szCs w:val="23"/>
              </w:rPr>
            </w:pPr>
            <w:sdt>
              <w:sdtPr>
                <w:rPr>
                  <w:rStyle w:val="Style2"/>
                  <w:sz w:val="23"/>
                  <w:szCs w:val="23"/>
                </w:rPr>
                <w:id w:val="-943849855"/>
                <w15:color w:val="FFCC00"/>
                <w14:checkbox>
                  <w14:checked w14:val="0"/>
                  <w14:checkedState w14:val="2612" w14:font="MS Gothic"/>
                  <w14:uncheckedState w14:val="2610" w14:font="MS Gothic"/>
                </w14:checkbox>
              </w:sdtPr>
              <w:sdtEndPr>
                <w:rPr>
                  <w:rStyle w:val="Style2"/>
                </w:rPr>
              </w:sdtEndPr>
              <w:sdtContent>
                <w:r w:rsidR="00B811A4" w:rsidRPr="00C36B3E">
                  <w:rPr>
                    <w:rStyle w:val="Style2"/>
                    <w:rFonts w:ascii="Segoe UI Symbol" w:eastAsia="MS Gothic" w:hAnsi="Segoe UI Symbol" w:cs="Segoe UI Symbol"/>
                    <w:sz w:val="23"/>
                    <w:szCs w:val="23"/>
                  </w:rPr>
                  <w:t>☐</w:t>
                </w:r>
              </w:sdtContent>
            </w:sdt>
            <w:r w:rsidR="00B811A4" w:rsidRPr="00C36B3E">
              <w:rPr>
                <w:sz w:val="23"/>
                <w:szCs w:val="23"/>
              </w:rPr>
              <w:t xml:space="preserve"> 29.2.5 pateikti duomenys apie kaštų naudingumą yra netinkami vertinti</w:t>
            </w:r>
          </w:p>
          <w:p w14:paraId="06AB06C5" w14:textId="77777777" w:rsidR="00B811A4" w:rsidRPr="00C36B3E" w:rsidRDefault="00B811A4"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rFonts w:eastAsia="MS Gothic"/>
                <w:sz w:val="23"/>
                <w:szCs w:val="23"/>
              </w:rPr>
            </w:pPr>
          </w:p>
        </w:tc>
      </w:tr>
      <w:tr w:rsidR="00334F18" w:rsidRPr="00C36B3E" w14:paraId="632C9193" w14:textId="77777777" w:rsidTr="00027464">
        <w:tc>
          <w:tcPr>
            <w:tcW w:w="9634" w:type="dxa"/>
            <w:gridSpan w:val="2"/>
          </w:tcPr>
          <w:p w14:paraId="15C289C9" w14:textId="637CA313" w:rsidR="007111C4" w:rsidRPr="00C36B3E" w:rsidRDefault="00C87688" w:rsidP="00743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Style w:val="Style2"/>
                <w:sz w:val="23"/>
                <w:szCs w:val="23"/>
              </w:rPr>
            </w:pPr>
            <w:sdt>
              <w:sdtPr>
                <w:rPr>
                  <w:rStyle w:val="Style2"/>
                  <w:sz w:val="23"/>
                  <w:szCs w:val="23"/>
                </w:rPr>
                <w:id w:val="1266579562"/>
                <w15:color w:val="FFCC00"/>
                <w14:checkbox>
                  <w14:checked w14:val="0"/>
                  <w14:checkedState w14:val="2612" w14:font="MS Gothic"/>
                  <w14:uncheckedState w14:val="2610" w14:font="MS Gothic"/>
                </w14:checkbox>
              </w:sdtPr>
              <w:sdtEndPr>
                <w:rPr>
                  <w:rStyle w:val="Style2"/>
                </w:rPr>
              </w:sdtEndPr>
              <w:sdtContent>
                <w:r w:rsidR="003E0B83" w:rsidRPr="00C36B3E">
                  <w:rPr>
                    <w:rStyle w:val="Style2"/>
                    <w:rFonts w:ascii="MS Gothic" w:eastAsia="MS Gothic" w:hAnsi="MS Gothic"/>
                    <w:sz w:val="23"/>
                    <w:szCs w:val="23"/>
                  </w:rPr>
                  <w:t>☐</w:t>
                </w:r>
              </w:sdtContent>
            </w:sdt>
            <w:r w:rsidR="007111C4" w:rsidRPr="00C36B3E">
              <w:rPr>
                <w:sz w:val="23"/>
                <w:szCs w:val="23"/>
              </w:rPr>
              <w:t xml:space="preserve"> Vykdant Aprašo &lt;17</w:t>
            </w:r>
            <w:r w:rsidR="007111C4" w:rsidRPr="00C36B3E">
              <w:rPr>
                <w:sz w:val="23"/>
                <w:szCs w:val="23"/>
                <w:vertAlign w:val="superscript"/>
              </w:rPr>
              <w:t>3</w:t>
            </w:r>
            <w:r w:rsidR="007111C4" w:rsidRPr="00C36B3E">
              <w:rPr>
                <w:sz w:val="23"/>
                <w:szCs w:val="23"/>
              </w:rPr>
              <w:t>.1&gt;&lt;17</w:t>
            </w:r>
            <w:r w:rsidR="007111C4" w:rsidRPr="00C36B3E">
              <w:rPr>
                <w:sz w:val="23"/>
                <w:szCs w:val="23"/>
                <w:vertAlign w:val="superscript"/>
              </w:rPr>
              <w:t>3</w:t>
            </w:r>
            <w:r w:rsidR="007111C4" w:rsidRPr="00C36B3E">
              <w:rPr>
                <w:sz w:val="23"/>
                <w:szCs w:val="23"/>
              </w:rPr>
              <w:t>.2&gt;&lt;17</w:t>
            </w:r>
            <w:r w:rsidR="007111C4" w:rsidRPr="00C36B3E">
              <w:rPr>
                <w:sz w:val="23"/>
                <w:szCs w:val="23"/>
                <w:vertAlign w:val="superscript"/>
              </w:rPr>
              <w:t>3</w:t>
            </w:r>
            <w:r w:rsidR="007111C4" w:rsidRPr="00C36B3E">
              <w:rPr>
                <w:sz w:val="23"/>
                <w:szCs w:val="23"/>
              </w:rPr>
              <w:t>.3&gt; punktą vaistinio (-ų) preparato (-ų) ekonominis vertinimas neatliekamas, išvados dėl kaštų naudingumo neteikiamos</w:t>
            </w:r>
          </w:p>
        </w:tc>
      </w:tr>
    </w:tbl>
    <w:p w14:paraId="08D5B3B6" w14:textId="292D1124" w:rsidR="0061611B" w:rsidRPr="00C36B3E" w:rsidRDefault="0061611B" w:rsidP="0061611B">
      <w:pPr>
        <w:rPr>
          <w:i/>
          <w:szCs w:val="22"/>
        </w:rPr>
      </w:pPr>
    </w:p>
    <w:p w14:paraId="1B85C083" w14:textId="77777777" w:rsidR="009E44AE" w:rsidRPr="00C36B3E" w:rsidRDefault="009E44AE" w:rsidP="00381024"/>
    <w:p w14:paraId="3B2D1F25" w14:textId="3A80E19F" w:rsidR="000001B0" w:rsidRPr="00C36B3E" w:rsidRDefault="000001B0" w:rsidP="00CC09D4">
      <w:pPr>
        <w:pStyle w:val="Sraopastraipa"/>
        <w:numPr>
          <w:ilvl w:val="0"/>
          <w:numId w:val="12"/>
        </w:numPr>
        <w:ind w:left="567" w:hanging="567"/>
      </w:pPr>
      <w:r w:rsidRPr="00C36B3E">
        <w:rPr>
          <w:b/>
        </w:rPr>
        <w:t>REKOME</w:t>
      </w:r>
      <w:r w:rsidR="00D83182" w:rsidRPr="00C36B3E">
        <w:rPr>
          <w:b/>
        </w:rPr>
        <w:t>N</w:t>
      </w:r>
      <w:r w:rsidRPr="00C36B3E">
        <w:rPr>
          <w:b/>
        </w:rPr>
        <w:t>DACIJA</w:t>
      </w:r>
    </w:p>
    <w:p w14:paraId="35E33D78" w14:textId="59232BB3" w:rsidR="00B811A4" w:rsidRPr="00C36B3E" w:rsidRDefault="00B811A4" w:rsidP="00B811A4">
      <w:pPr>
        <w:pStyle w:val="Sraopastraipa"/>
        <w:ind w:left="567"/>
        <w:rPr>
          <w:b/>
        </w:rPr>
      </w:pPr>
    </w:p>
    <w:p w14:paraId="795E249E" w14:textId="77777777" w:rsidR="00A25BC3" w:rsidRPr="00C36B3E" w:rsidRDefault="00A25BC3" w:rsidP="00A25BC3">
      <w:pPr>
        <w:jc w:val="both"/>
        <w:rPr>
          <w:lang w:eastAsia="lt-LT"/>
        </w:rPr>
      </w:pPr>
      <w:r w:rsidRPr="00C36B3E">
        <w:t xml:space="preserve">Vadovaujantis Aprašo </w:t>
      </w:r>
      <w:bookmarkStart w:id="2" w:name="_Hlk190784826"/>
      <w:r w:rsidRPr="00C36B3E">
        <w:rPr>
          <w:lang w:eastAsia="lt-LT"/>
        </w:rPr>
        <w:t>30</w:t>
      </w:r>
      <w:r w:rsidRPr="00C36B3E">
        <w:rPr>
          <w:vertAlign w:val="superscript"/>
          <w:lang w:eastAsia="lt-LT"/>
        </w:rPr>
        <w:t>1</w:t>
      </w:r>
      <w:r w:rsidRPr="00C36B3E">
        <w:rPr>
          <w:lang w:eastAsia="lt-LT"/>
        </w:rPr>
        <w:t xml:space="preserve">.2. papunkčiu rekomenduojama kompensuoti vaistinį preparatą pagal paraiškoje nurodytą indikaciją (arba jos dalį) su arba be skyrimo sąlygų, jei, pateikus naują ar atnaujintą PGS, kaštų naudingumas atitinka referencinę naudingumo vertę, kai vertinimo išvados atitinka Aprašo 29.1.1 ir 29.2.3 papunkčiuose numatytas sąlygas </w:t>
      </w:r>
    </w:p>
    <w:bookmarkEnd w:id="2"/>
    <w:p w14:paraId="3D60BB06" w14:textId="77777777" w:rsidR="00B811A4" w:rsidRPr="00C36B3E" w:rsidRDefault="00B811A4" w:rsidP="00B811A4">
      <w:pPr>
        <w:widowControl w:val="0"/>
        <w:tabs>
          <w:tab w:val="left" w:pos="1418"/>
        </w:tabs>
        <w:suppressAutoHyphens/>
        <w:spacing w:line="360" w:lineRule="atLeast"/>
        <w:jc w:val="center"/>
        <w:textAlignment w:val="center"/>
        <w:rPr>
          <w:lang w:eastAsia="lt-LT"/>
        </w:rPr>
      </w:pPr>
    </w:p>
    <w:p w14:paraId="42F3A222" w14:textId="77777777" w:rsidR="00B811A4" w:rsidRPr="00C36B3E" w:rsidRDefault="00B811A4" w:rsidP="00B811A4">
      <w:pPr>
        <w:tabs>
          <w:tab w:val="left" w:pos="426"/>
        </w:tabs>
        <w:jc w:val="both"/>
        <w:rPr>
          <w:b/>
          <w:lang w:eastAsia="lt-LT"/>
        </w:rPr>
      </w:pPr>
      <w:r w:rsidRPr="00C36B3E">
        <w:rPr>
          <w:b/>
          <w:lang w:eastAsia="lt-LT"/>
        </w:rPr>
        <w:t xml:space="preserve">4.3 Siūloma (-os) kompensuoti terapinės indikacijos ir skyrimo sąlygos </w:t>
      </w:r>
    </w:p>
    <w:p w14:paraId="179FBABC" w14:textId="77777777" w:rsidR="00B811A4" w:rsidRPr="00C36B3E" w:rsidRDefault="00B811A4" w:rsidP="00B811A4">
      <w:pPr>
        <w:tabs>
          <w:tab w:val="left" w:pos="426"/>
        </w:tabs>
        <w:jc w:val="both"/>
        <w:rPr>
          <w:b/>
          <w:lang w:eastAsia="lt-LT"/>
        </w:rPr>
      </w:pPr>
    </w:p>
    <w:p w14:paraId="65CB839B" w14:textId="77777777" w:rsidR="00B811A4" w:rsidRPr="00C36B3E" w:rsidRDefault="00B811A4" w:rsidP="00B811A4">
      <w:pPr>
        <w:pStyle w:val="Betarp"/>
        <w:rPr>
          <w:rFonts w:ascii="Times New Roman" w:hAnsi="Times New Roman"/>
          <w:b/>
          <w:sz w:val="24"/>
          <w:szCs w:val="24"/>
          <w:lang w:eastAsia="lt-LT"/>
        </w:rPr>
      </w:pPr>
      <w:r w:rsidRPr="00C36B3E">
        <w:rPr>
          <w:rFonts w:ascii="Times New Roman" w:hAnsi="Times New Roman"/>
          <w:b/>
          <w:sz w:val="24"/>
          <w:szCs w:val="24"/>
          <w:lang w:eastAsia="lt-LT"/>
        </w:rPr>
        <w:t>Terapinės indikacijos</w:t>
      </w:r>
    </w:p>
    <w:p w14:paraId="59DF07ED" w14:textId="67E28623" w:rsidR="00FB6DAA" w:rsidRPr="00C36B3E" w:rsidRDefault="00FB6DAA" w:rsidP="00FB6DAA">
      <w:pPr>
        <w:jc w:val="both"/>
      </w:pPr>
      <w:r w:rsidRPr="00C36B3E">
        <w:t>Leqembi skirtas gydyti suaugusius pacientus, kuriems kliniškai diagnozuotas lengvas kognityvinis sutrikimas ir lengva demencija dėl Alzheimerio ligos (ankstyvoji Alzheimerio liga), kurie nėra apolipoproteino ε4 (ApoE4) nešiotojai arba yra heterozigotai su patvirtinta amiloido patologija.</w:t>
      </w:r>
    </w:p>
    <w:p w14:paraId="5BDF1685" w14:textId="77777777" w:rsidR="003E0B83" w:rsidRPr="00C36B3E" w:rsidRDefault="003E0B83" w:rsidP="00B811A4">
      <w:pPr>
        <w:pStyle w:val="Betarp"/>
        <w:rPr>
          <w:rFonts w:ascii="Times New Roman" w:hAnsi="Times New Roman"/>
          <w:sz w:val="24"/>
          <w:szCs w:val="24"/>
        </w:rPr>
      </w:pPr>
    </w:p>
    <w:p w14:paraId="3BC08150" w14:textId="5A950F90" w:rsidR="00B811A4" w:rsidRPr="00C36B3E" w:rsidRDefault="003E0B83" w:rsidP="002411ED">
      <w:pPr>
        <w:jc w:val="both"/>
      </w:pPr>
      <w:r w:rsidRPr="00C36B3E">
        <w:t>TLK- 10 AM kodai:  F00, G30.</w:t>
      </w:r>
    </w:p>
    <w:p w14:paraId="7D13A065" w14:textId="77777777" w:rsidR="003E0B83" w:rsidRPr="00C36B3E" w:rsidRDefault="003E0B83" w:rsidP="00B811A4">
      <w:pPr>
        <w:pStyle w:val="Betarp"/>
        <w:rPr>
          <w:rFonts w:ascii="Times New Roman" w:hAnsi="Times New Roman"/>
          <w:sz w:val="24"/>
          <w:szCs w:val="24"/>
        </w:rPr>
      </w:pPr>
    </w:p>
    <w:p w14:paraId="632DB4B9" w14:textId="05E008A5" w:rsidR="00B811A4" w:rsidRPr="00C36B3E" w:rsidRDefault="00B811A4" w:rsidP="00B811A4">
      <w:pPr>
        <w:pStyle w:val="Betarp"/>
        <w:rPr>
          <w:rFonts w:ascii="Times New Roman" w:hAnsi="Times New Roman"/>
          <w:bCs/>
          <w:i/>
          <w:iCs/>
          <w:sz w:val="24"/>
          <w:szCs w:val="24"/>
        </w:rPr>
      </w:pPr>
      <w:r w:rsidRPr="00C36B3E">
        <w:rPr>
          <w:rFonts w:ascii="Times New Roman" w:hAnsi="Times New Roman"/>
          <w:b/>
          <w:sz w:val="24"/>
          <w:szCs w:val="24"/>
        </w:rPr>
        <w:t>Skyrimo sąlygos</w:t>
      </w:r>
      <w:r w:rsidR="00FB6DAA" w:rsidRPr="00C36B3E">
        <w:rPr>
          <w:rFonts w:ascii="Times New Roman" w:hAnsi="Times New Roman"/>
          <w:b/>
          <w:sz w:val="24"/>
          <w:szCs w:val="24"/>
        </w:rPr>
        <w:t xml:space="preserve"> </w:t>
      </w:r>
    </w:p>
    <w:p w14:paraId="4EF4873E" w14:textId="419F20E8" w:rsidR="00FB6DAA" w:rsidRPr="00C36B3E" w:rsidRDefault="00FB6DAA" w:rsidP="00B811A4">
      <w:pPr>
        <w:pStyle w:val="Betarp"/>
        <w:rPr>
          <w:rFonts w:ascii="Times New Roman" w:hAnsi="Times New Roman"/>
          <w:bCs/>
          <w:sz w:val="24"/>
          <w:szCs w:val="24"/>
        </w:rPr>
      </w:pPr>
    </w:p>
    <w:p w14:paraId="6E0D882A" w14:textId="6F61A5E9" w:rsidR="00B21A8A" w:rsidRPr="00C36B3E" w:rsidRDefault="00B21A8A" w:rsidP="00B21A8A">
      <w:pPr>
        <w:jc w:val="both"/>
        <w:rPr>
          <w:bCs/>
        </w:rPr>
      </w:pPr>
      <w:r w:rsidRPr="00C36B3E">
        <w:rPr>
          <w:bCs/>
        </w:rPr>
        <w:t xml:space="preserve">Skiriamas pacientams, kuriems yra diagnozuota ankstyva simptominė (nustatyta lengvas kognityvinis sutrikimas arba lengva demencija) Alzheimerio liga ir </w:t>
      </w:r>
      <w:r w:rsidRPr="00C36B3E">
        <w:t>kurie nėra apolipoproteino ε4 (ApoE4) nešiotojai arba yra heterozigotai su patvirtinta amiloido patologija. Vartojant lekanemabo būtina kas</w:t>
      </w:r>
      <w:r w:rsidRPr="00C36B3E">
        <w:rPr>
          <w:bCs/>
        </w:rPr>
        <w:t xml:space="preserve"> 6 mėnesius atlikti pažin</w:t>
      </w:r>
      <w:r w:rsidR="009F06E4" w:rsidRPr="00C36B3E">
        <w:rPr>
          <w:bCs/>
        </w:rPr>
        <w:t>t</w:t>
      </w:r>
      <w:r w:rsidRPr="00C36B3E">
        <w:rPr>
          <w:bCs/>
        </w:rPr>
        <w:t>i</w:t>
      </w:r>
      <w:r w:rsidR="009F06E4" w:rsidRPr="00C36B3E">
        <w:rPr>
          <w:bCs/>
        </w:rPr>
        <w:t>nių</w:t>
      </w:r>
      <w:r w:rsidRPr="00C36B3E">
        <w:rPr>
          <w:bCs/>
        </w:rPr>
        <w:t xml:space="preserve"> funkcijų tyrimus ir įvertinti klinikinius simptomus. Jei pacientui išsivysto vidutinio sunkumo kognityvinis sutrikimas arba demencija, gydymą reikia nutraukti. </w:t>
      </w:r>
      <w:r w:rsidRPr="00C36B3E">
        <w:t xml:space="preserve">Gydymo metu būtina laikytis preparato charakteristikų santraukoje nurodytų rekomendacijų dėl su amiloidu susijusių vaizdinių tyrimo pokyčių stebėsenos, vartojimo sustabdymo ir nutraukimo. </w:t>
      </w:r>
      <w:r w:rsidRPr="00C36B3E">
        <w:rPr>
          <w:bCs/>
        </w:rPr>
        <w:t>Jei gydymo metu neatsiranda klinikinių aplinkybių, dėl kurių būtina nutraukti gydymą, gydymo lekanemabu trukmė ne ilgesnė kaip 18 mėnesių.</w:t>
      </w:r>
    </w:p>
    <w:p w14:paraId="49B7BF1D" w14:textId="77777777" w:rsidR="00B21A8A" w:rsidRPr="00C36B3E" w:rsidRDefault="00B21A8A" w:rsidP="00B21A8A">
      <w:pPr>
        <w:jc w:val="both"/>
        <w:rPr>
          <w:bCs/>
        </w:rPr>
      </w:pPr>
      <w:r w:rsidRPr="00C36B3E">
        <w:t xml:space="preserve">Skiria gydytojas neurologas, teikiantis tretinio lygio paslaugas. </w:t>
      </w:r>
    </w:p>
    <w:p w14:paraId="1B3A249C" w14:textId="77777777" w:rsidR="00B21A8A" w:rsidRPr="00C36B3E" w:rsidRDefault="00B21A8A" w:rsidP="00283E59">
      <w:pPr>
        <w:widowControl w:val="0"/>
        <w:tabs>
          <w:tab w:val="left" w:pos="1418"/>
        </w:tabs>
        <w:suppressAutoHyphens/>
        <w:spacing w:line="360" w:lineRule="atLeast"/>
        <w:jc w:val="center"/>
        <w:textAlignment w:val="center"/>
        <w:rPr>
          <w:lang w:eastAsia="lt-LT"/>
        </w:rPr>
      </w:pPr>
    </w:p>
    <w:p w14:paraId="33B8DE04" w14:textId="2729FDFB" w:rsidR="00283E59" w:rsidRPr="00C36B3E" w:rsidRDefault="00283E59" w:rsidP="00283E59">
      <w:pPr>
        <w:widowControl w:val="0"/>
        <w:tabs>
          <w:tab w:val="left" w:pos="1418"/>
        </w:tabs>
        <w:suppressAutoHyphens/>
        <w:spacing w:line="360" w:lineRule="atLeast"/>
        <w:jc w:val="center"/>
        <w:textAlignment w:val="center"/>
      </w:pPr>
      <w:r w:rsidRPr="00C36B3E">
        <w:rPr>
          <w:lang w:eastAsia="lt-LT"/>
        </w:rPr>
        <w:t>____________________________</w:t>
      </w:r>
    </w:p>
    <w:p w14:paraId="562A1372" w14:textId="77777777" w:rsidR="00283E59" w:rsidRPr="00C36B3E" w:rsidRDefault="00283E59" w:rsidP="00283E59">
      <w:pPr>
        <w:jc w:val="both"/>
        <w:rPr>
          <w:b/>
          <w:sz w:val="20"/>
        </w:rPr>
      </w:pPr>
    </w:p>
    <w:p w14:paraId="7CDFF220" w14:textId="58191D98" w:rsidR="000723FF" w:rsidRPr="00C36B3E" w:rsidRDefault="000723FF" w:rsidP="00824B92">
      <w:pPr>
        <w:rPr>
          <w:b/>
        </w:rPr>
      </w:pPr>
    </w:p>
    <w:sectPr w:rsidR="000723FF" w:rsidRPr="00C36B3E" w:rsidSect="00063A50">
      <w:headerReference w:type="first" r:id="rId8"/>
      <w:footerReference w:type="first" r:id="rId9"/>
      <w:pgSz w:w="11907" w:h="16840" w:code="9"/>
      <w:pgMar w:top="1134" w:right="567" w:bottom="1134" w:left="1701" w:header="646"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04CDA" w14:textId="77777777" w:rsidR="00C87688" w:rsidRDefault="00C87688">
      <w:r>
        <w:separator/>
      </w:r>
    </w:p>
  </w:endnote>
  <w:endnote w:type="continuationSeparator" w:id="0">
    <w:p w14:paraId="1833ECBF" w14:textId="77777777" w:rsidR="00C87688" w:rsidRDefault="00C87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3368" w14:textId="77777777" w:rsidR="00347FAA" w:rsidRDefault="00347FAA">
    <w:pPr>
      <w:pStyle w:val="Porat"/>
      <w:jc w:val="right"/>
      <w:rPr>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B3CF1" w14:textId="77777777" w:rsidR="00C87688" w:rsidRDefault="00C87688">
      <w:r>
        <w:separator/>
      </w:r>
    </w:p>
  </w:footnote>
  <w:footnote w:type="continuationSeparator" w:id="0">
    <w:p w14:paraId="2BF0E20B" w14:textId="77777777" w:rsidR="00C87688" w:rsidRDefault="00C87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1C8F" w14:textId="77777777" w:rsidR="00347FAA" w:rsidRDefault="00347FAA" w:rsidP="00FD793C">
    <w:pPr>
      <w:pStyle w:val="Antrats"/>
      <w:ind w:left="612"/>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D8E"/>
    <w:multiLevelType w:val="hybridMultilevel"/>
    <w:tmpl w:val="10FAC1C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1276250"/>
    <w:multiLevelType w:val="hybridMultilevel"/>
    <w:tmpl w:val="3B6C29F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220161"/>
    <w:multiLevelType w:val="hybridMultilevel"/>
    <w:tmpl w:val="755A818E"/>
    <w:lvl w:ilvl="0" w:tplc="832E0E86">
      <w:start w:val="1"/>
      <w:numFmt w:val="bullet"/>
      <w:lvlText w:val="-"/>
      <w:lvlJc w:val="left"/>
      <w:pPr>
        <w:ind w:left="720" w:hanging="360"/>
      </w:pPr>
      <w:rPr>
        <w:rFonts w:ascii="Times New Roman" w:eastAsia="Arial"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9E0081E"/>
    <w:multiLevelType w:val="multilevel"/>
    <w:tmpl w:val="0427001F"/>
    <w:lvl w:ilvl="0">
      <w:start w:val="1"/>
      <w:numFmt w:val="decimal"/>
      <w:lvlText w:val="%1."/>
      <w:lvlJc w:val="left"/>
      <w:pPr>
        <w:ind w:left="360" w:hanging="360"/>
      </w:pPr>
      <w:rPr>
        <w:rFonts w:hint="default"/>
        <w:b w:val="0"/>
        <w:bCs w:val="0"/>
      </w:rPr>
    </w:lvl>
    <w:lvl w:ilvl="1">
      <w:start w:val="1"/>
      <w:numFmt w:val="decimal"/>
      <w:lvlText w:val="%1.%2."/>
      <w:lvlJc w:val="left"/>
      <w:pPr>
        <w:ind w:left="28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AD2E58"/>
    <w:multiLevelType w:val="hybridMultilevel"/>
    <w:tmpl w:val="F6943F7A"/>
    <w:lvl w:ilvl="0" w:tplc="AB64BC8E">
      <w:start w:val="1"/>
      <w:numFmt w:val="decimal"/>
      <w:lvlText w:val="%1."/>
      <w:lvlJc w:val="left"/>
      <w:pPr>
        <w:ind w:left="720" w:hanging="360"/>
      </w:pPr>
      <w:rPr>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A101C59"/>
    <w:multiLevelType w:val="hybridMultilevel"/>
    <w:tmpl w:val="64544F3A"/>
    <w:lvl w:ilvl="0" w:tplc="04270001">
      <w:start w:val="1"/>
      <w:numFmt w:val="bullet"/>
      <w:lvlText w:val=""/>
      <w:lvlJc w:val="left"/>
      <w:pPr>
        <w:ind w:left="2160" w:hanging="360"/>
      </w:pPr>
      <w:rPr>
        <w:rFonts w:ascii="Symbol" w:hAnsi="Symbol"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6" w15:restartNumberingAfterBreak="0">
    <w:nsid w:val="1A816B09"/>
    <w:multiLevelType w:val="hybridMultilevel"/>
    <w:tmpl w:val="8FBEE17A"/>
    <w:lvl w:ilvl="0" w:tplc="0427000F">
      <w:start w:val="16"/>
      <w:numFmt w:val="decimal"/>
      <w:lvlText w:val="%1."/>
      <w:lvlJc w:val="left"/>
      <w:pPr>
        <w:ind w:left="501" w:hanging="360"/>
      </w:pPr>
      <w:rPr>
        <w:rFonts w:hint="default"/>
      </w:rPr>
    </w:lvl>
    <w:lvl w:ilvl="1" w:tplc="04270019" w:tentative="1">
      <w:start w:val="1"/>
      <w:numFmt w:val="lowerLetter"/>
      <w:lvlText w:val="%2."/>
      <w:lvlJc w:val="left"/>
      <w:pPr>
        <w:ind w:left="1581" w:hanging="360"/>
      </w:pPr>
    </w:lvl>
    <w:lvl w:ilvl="2" w:tplc="0427001B" w:tentative="1">
      <w:start w:val="1"/>
      <w:numFmt w:val="lowerRoman"/>
      <w:lvlText w:val="%3."/>
      <w:lvlJc w:val="right"/>
      <w:pPr>
        <w:ind w:left="2301" w:hanging="180"/>
      </w:pPr>
    </w:lvl>
    <w:lvl w:ilvl="3" w:tplc="0427000F" w:tentative="1">
      <w:start w:val="1"/>
      <w:numFmt w:val="decimal"/>
      <w:lvlText w:val="%4."/>
      <w:lvlJc w:val="left"/>
      <w:pPr>
        <w:ind w:left="3021" w:hanging="360"/>
      </w:pPr>
    </w:lvl>
    <w:lvl w:ilvl="4" w:tplc="04270019" w:tentative="1">
      <w:start w:val="1"/>
      <w:numFmt w:val="lowerLetter"/>
      <w:lvlText w:val="%5."/>
      <w:lvlJc w:val="left"/>
      <w:pPr>
        <w:ind w:left="3741" w:hanging="360"/>
      </w:pPr>
    </w:lvl>
    <w:lvl w:ilvl="5" w:tplc="0427001B" w:tentative="1">
      <w:start w:val="1"/>
      <w:numFmt w:val="lowerRoman"/>
      <w:lvlText w:val="%6."/>
      <w:lvlJc w:val="right"/>
      <w:pPr>
        <w:ind w:left="4461" w:hanging="180"/>
      </w:pPr>
    </w:lvl>
    <w:lvl w:ilvl="6" w:tplc="0427000F" w:tentative="1">
      <w:start w:val="1"/>
      <w:numFmt w:val="decimal"/>
      <w:lvlText w:val="%7."/>
      <w:lvlJc w:val="left"/>
      <w:pPr>
        <w:ind w:left="5181" w:hanging="360"/>
      </w:pPr>
    </w:lvl>
    <w:lvl w:ilvl="7" w:tplc="04270019" w:tentative="1">
      <w:start w:val="1"/>
      <w:numFmt w:val="lowerLetter"/>
      <w:lvlText w:val="%8."/>
      <w:lvlJc w:val="left"/>
      <w:pPr>
        <w:ind w:left="5901" w:hanging="360"/>
      </w:pPr>
    </w:lvl>
    <w:lvl w:ilvl="8" w:tplc="0427001B" w:tentative="1">
      <w:start w:val="1"/>
      <w:numFmt w:val="lowerRoman"/>
      <w:lvlText w:val="%9."/>
      <w:lvlJc w:val="right"/>
      <w:pPr>
        <w:ind w:left="6621" w:hanging="180"/>
      </w:pPr>
    </w:lvl>
  </w:abstractNum>
  <w:abstractNum w:abstractNumId="7" w15:restartNumberingAfterBreak="0">
    <w:nsid w:val="3975004F"/>
    <w:multiLevelType w:val="hybridMultilevel"/>
    <w:tmpl w:val="13E4607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3BCC4222"/>
    <w:multiLevelType w:val="multilevel"/>
    <w:tmpl w:val="C9C6278E"/>
    <w:lvl w:ilvl="0">
      <w:start w:val="2"/>
      <w:numFmt w:val="decimal"/>
      <w:lvlText w:val="%1."/>
      <w:lvlJc w:val="left"/>
      <w:pPr>
        <w:ind w:left="360" w:hanging="360"/>
      </w:pPr>
      <w:rPr>
        <w:rFonts w:eastAsia="Arial Unicode MS" w:hint="default"/>
      </w:rPr>
    </w:lvl>
    <w:lvl w:ilvl="1">
      <w:start w:val="7"/>
      <w:numFmt w:val="decimal"/>
      <w:lvlText w:val="%1.%2."/>
      <w:lvlJc w:val="left"/>
      <w:pPr>
        <w:ind w:left="720" w:hanging="360"/>
      </w:pPr>
      <w:rPr>
        <w:rFonts w:eastAsia="Arial Unicode MS" w:hint="default"/>
      </w:rPr>
    </w:lvl>
    <w:lvl w:ilvl="2">
      <w:start w:val="1"/>
      <w:numFmt w:val="decimal"/>
      <w:lvlText w:val="%1.%2.%3."/>
      <w:lvlJc w:val="left"/>
      <w:pPr>
        <w:ind w:left="1440" w:hanging="720"/>
      </w:pPr>
      <w:rPr>
        <w:rFonts w:eastAsia="Arial Unicode MS" w:hint="default"/>
      </w:rPr>
    </w:lvl>
    <w:lvl w:ilvl="3">
      <w:start w:val="1"/>
      <w:numFmt w:val="decimal"/>
      <w:lvlText w:val="%1.%2.%3.%4."/>
      <w:lvlJc w:val="left"/>
      <w:pPr>
        <w:ind w:left="1800" w:hanging="720"/>
      </w:pPr>
      <w:rPr>
        <w:rFonts w:eastAsia="Arial Unicode MS" w:hint="default"/>
      </w:rPr>
    </w:lvl>
    <w:lvl w:ilvl="4">
      <w:start w:val="1"/>
      <w:numFmt w:val="decimal"/>
      <w:lvlText w:val="%1.%2.%3.%4.%5."/>
      <w:lvlJc w:val="left"/>
      <w:pPr>
        <w:ind w:left="2520" w:hanging="1080"/>
      </w:pPr>
      <w:rPr>
        <w:rFonts w:eastAsia="Arial Unicode MS" w:hint="default"/>
      </w:rPr>
    </w:lvl>
    <w:lvl w:ilvl="5">
      <w:start w:val="1"/>
      <w:numFmt w:val="decimal"/>
      <w:lvlText w:val="%1.%2.%3.%4.%5.%6."/>
      <w:lvlJc w:val="left"/>
      <w:pPr>
        <w:ind w:left="2880" w:hanging="1080"/>
      </w:pPr>
      <w:rPr>
        <w:rFonts w:eastAsia="Arial Unicode MS" w:hint="default"/>
      </w:rPr>
    </w:lvl>
    <w:lvl w:ilvl="6">
      <w:start w:val="1"/>
      <w:numFmt w:val="decimal"/>
      <w:lvlText w:val="%1.%2.%3.%4.%5.%6.%7."/>
      <w:lvlJc w:val="left"/>
      <w:pPr>
        <w:ind w:left="3600" w:hanging="1440"/>
      </w:pPr>
      <w:rPr>
        <w:rFonts w:eastAsia="Arial Unicode MS" w:hint="default"/>
      </w:rPr>
    </w:lvl>
    <w:lvl w:ilvl="7">
      <w:start w:val="1"/>
      <w:numFmt w:val="decimal"/>
      <w:lvlText w:val="%1.%2.%3.%4.%5.%6.%7.%8."/>
      <w:lvlJc w:val="left"/>
      <w:pPr>
        <w:ind w:left="3960" w:hanging="1440"/>
      </w:pPr>
      <w:rPr>
        <w:rFonts w:eastAsia="Arial Unicode MS" w:hint="default"/>
      </w:rPr>
    </w:lvl>
    <w:lvl w:ilvl="8">
      <w:start w:val="1"/>
      <w:numFmt w:val="decimal"/>
      <w:lvlText w:val="%1.%2.%3.%4.%5.%6.%7.%8.%9."/>
      <w:lvlJc w:val="left"/>
      <w:pPr>
        <w:ind w:left="4680" w:hanging="1800"/>
      </w:pPr>
      <w:rPr>
        <w:rFonts w:eastAsia="Arial Unicode MS" w:hint="default"/>
      </w:rPr>
    </w:lvl>
  </w:abstractNum>
  <w:abstractNum w:abstractNumId="9" w15:restartNumberingAfterBreak="0">
    <w:nsid w:val="41953EAB"/>
    <w:multiLevelType w:val="hybridMultilevel"/>
    <w:tmpl w:val="D0F01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9B019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B83C1B"/>
    <w:multiLevelType w:val="multilevel"/>
    <w:tmpl w:val="5F38437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2" w15:restartNumberingAfterBreak="0">
    <w:nsid w:val="5A0D73F3"/>
    <w:multiLevelType w:val="hybridMultilevel"/>
    <w:tmpl w:val="CA9A2AC8"/>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AB27E1E"/>
    <w:multiLevelType w:val="hybridMultilevel"/>
    <w:tmpl w:val="3D568A5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266018"/>
    <w:multiLevelType w:val="hybridMultilevel"/>
    <w:tmpl w:val="AA9C98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29035017">
    <w:abstractNumId w:val="9"/>
  </w:num>
  <w:num w:numId="2" w16cid:durableId="985162166">
    <w:abstractNumId w:val="3"/>
  </w:num>
  <w:num w:numId="3" w16cid:durableId="480578891">
    <w:abstractNumId w:val="11"/>
  </w:num>
  <w:num w:numId="4" w16cid:durableId="442387534">
    <w:abstractNumId w:val="10"/>
  </w:num>
  <w:num w:numId="5" w16cid:durableId="823667834">
    <w:abstractNumId w:val="8"/>
  </w:num>
  <w:num w:numId="6" w16cid:durableId="417020125">
    <w:abstractNumId w:val="7"/>
  </w:num>
  <w:num w:numId="7" w16cid:durableId="1843550031">
    <w:abstractNumId w:val="5"/>
  </w:num>
  <w:num w:numId="8" w16cid:durableId="580068462">
    <w:abstractNumId w:val="14"/>
  </w:num>
  <w:num w:numId="9" w16cid:durableId="257183606">
    <w:abstractNumId w:val="0"/>
  </w:num>
  <w:num w:numId="10" w16cid:durableId="131410136">
    <w:abstractNumId w:val="12"/>
  </w:num>
  <w:num w:numId="11" w16cid:durableId="1133251921">
    <w:abstractNumId w:val="13"/>
  </w:num>
  <w:num w:numId="12" w16cid:durableId="700133012">
    <w:abstractNumId w:val="4"/>
  </w:num>
  <w:num w:numId="13" w16cid:durableId="373774129">
    <w:abstractNumId w:val="6"/>
  </w:num>
  <w:num w:numId="14" w16cid:durableId="1004668447">
    <w:abstractNumId w:val="1"/>
  </w:num>
  <w:num w:numId="15" w16cid:durableId="660350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E7"/>
    <w:rsid w:val="000001B0"/>
    <w:rsid w:val="00003F5B"/>
    <w:rsid w:val="000114DD"/>
    <w:rsid w:val="000136F7"/>
    <w:rsid w:val="00013A05"/>
    <w:rsid w:val="0002005B"/>
    <w:rsid w:val="000203E1"/>
    <w:rsid w:val="0002686C"/>
    <w:rsid w:val="00031D0E"/>
    <w:rsid w:val="000337E6"/>
    <w:rsid w:val="0003402E"/>
    <w:rsid w:val="00034EAE"/>
    <w:rsid w:val="00042924"/>
    <w:rsid w:val="000448C6"/>
    <w:rsid w:val="00052BD8"/>
    <w:rsid w:val="00053975"/>
    <w:rsid w:val="00057A2B"/>
    <w:rsid w:val="000606BE"/>
    <w:rsid w:val="000624FF"/>
    <w:rsid w:val="00063A50"/>
    <w:rsid w:val="00065CD5"/>
    <w:rsid w:val="000723FF"/>
    <w:rsid w:val="000736B8"/>
    <w:rsid w:val="000775B0"/>
    <w:rsid w:val="0008190F"/>
    <w:rsid w:val="000819A5"/>
    <w:rsid w:val="00081D9C"/>
    <w:rsid w:val="00082907"/>
    <w:rsid w:val="0008378D"/>
    <w:rsid w:val="000908A5"/>
    <w:rsid w:val="00092805"/>
    <w:rsid w:val="000A2031"/>
    <w:rsid w:val="000A50C9"/>
    <w:rsid w:val="000A7473"/>
    <w:rsid w:val="000B2B2C"/>
    <w:rsid w:val="000B76AD"/>
    <w:rsid w:val="000C454C"/>
    <w:rsid w:val="000D5038"/>
    <w:rsid w:val="000E29D4"/>
    <w:rsid w:val="000F3540"/>
    <w:rsid w:val="00100491"/>
    <w:rsid w:val="00104E2E"/>
    <w:rsid w:val="00107287"/>
    <w:rsid w:val="00117194"/>
    <w:rsid w:val="00117406"/>
    <w:rsid w:val="00121EF0"/>
    <w:rsid w:val="00124A9E"/>
    <w:rsid w:val="00130703"/>
    <w:rsid w:val="0013153F"/>
    <w:rsid w:val="00137B4F"/>
    <w:rsid w:val="001408B8"/>
    <w:rsid w:val="001466FE"/>
    <w:rsid w:val="001517E2"/>
    <w:rsid w:val="001521D9"/>
    <w:rsid w:val="001554E2"/>
    <w:rsid w:val="00164146"/>
    <w:rsid w:val="00164D64"/>
    <w:rsid w:val="0017369C"/>
    <w:rsid w:val="00175D57"/>
    <w:rsid w:val="00180C39"/>
    <w:rsid w:val="00180D96"/>
    <w:rsid w:val="00184BD3"/>
    <w:rsid w:val="001921F3"/>
    <w:rsid w:val="001A0CAA"/>
    <w:rsid w:val="001B2B60"/>
    <w:rsid w:val="001B3C5B"/>
    <w:rsid w:val="001C2FC8"/>
    <w:rsid w:val="001C6353"/>
    <w:rsid w:val="001D4DB5"/>
    <w:rsid w:val="001D4EC9"/>
    <w:rsid w:val="001D5B91"/>
    <w:rsid w:val="001D746F"/>
    <w:rsid w:val="001E0B2D"/>
    <w:rsid w:val="001E4BBB"/>
    <w:rsid w:val="001E6304"/>
    <w:rsid w:val="001F115E"/>
    <w:rsid w:val="0020381E"/>
    <w:rsid w:val="00213471"/>
    <w:rsid w:val="00215906"/>
    <w:rsid w:val="002411ED"/>
    <w:rsid w:val="00241CD8"/>
    <w:rsid w:val="00244B09"/>
    <w:rsid w:val="002519CB"/>
    <w:rsid w:val="00252B76"/>
    <w:rsid w:val="00255457"/>
    <w:rsid w:val="0025697F"/>
    <w:rsid w:val="00260258"/>
    <w:rsid w:val="0026588E"/>
    <w:rsid w:val="00272428"/>
    <w:rsid w:val="00272948"/>
    <w:rsid w:val="00283E59"/>
    <w:rsid w:val="00292392"/>
    <w:rsid w:val="002946C7"/>
    <w:rsid w:val="002B3CC1"/>
    <w:rsid w:val="002C0686"/>
    <w:rsid w:val="002C09E0"/>
    <w:rsid w:val="002C100E"/>
    <w:rsid w:val="002C1BB1"/>
    <w:rsid w:val="002C2786"/>
    <w:rsid w:val="002C3A10"/>
    <w:rsid w:val="002C4A90"/>
    <w:rsid w:val="002C4ED5"/>
    <w:rsid w:val="002D02EF"/>
    <w:rsid w:val="002E0702"/>
    <w:rsid w:val="002E1A83"/>
    <w:rsid w:val="002E57AD"/>
    <w:rsid w:val="002E6F80"/>
    <w:rsid w:val="002F0E4F"/>
    <w:rsid w:val="002F1053"/>
    <w:rsid w:val="00301DAB"/>
    <w:rsid w:val="00314816"/>
    <w:rsid w:val="00317B0E"/>
    <w:rsid w:val="00334F18"/>
    <w:rsid w:val="00336238"/>
    <w:rsid w:val="00347FAA"/>
    <w:rsid w:val="0035172D"/>
    <w:rsid w:val="0036187D"/>
    <w:rsid w:val="003625DB"/>
    <w:rsid w:val="00367EDB"/>
    <w:rsid w:val="003705F0"/>
    <w:rsid w:val="00381024"/>
    <w:rsid w:val="00386307"/>
    <w:rsid w:val="003874DE"/>
    <w:rsid w:val="00393E9F"/>
    <w:rsid w:val="0039696E"/>
    <w:rsid w:val="003B211A"/>
    <w:rsid w:val="003B5A16"/>
    <w:rsid w:val="003C141F"/>
    <w:rsid w:val="003C6B0E"/>
    <w:rsid w:val="003C7257"/>
    <w:rsid w:val="003C7E35"/>
    <w:rsid w:val="003D1E99"/>
    <w:rsid w:val="003D6208"/>
    <w:rsid w:val="003E0B83"/>
    <w:rsid w:val="00404E8A"/>
    <w:rsid w:val="0040622F"/>
    <w:rsid w:val="00413F24"/>
    <w:rsid w:val="00415236"/>
    <w:rsid w:val="00422853"/>
    <w:rsid w:val="00423160"/>
    <w:rsid w:val="00426947"/>
    <w:rsid w:val="00437623"/>
    <w:rsid w:val="00444A2B"/>
    <w:rsid w:val="0045036B"/>
    <w:rsid w:val="00453862"/>
    <w:rsid w:val="0045469B"/>
    <w:rsid w:val="00461338"/>
    <w:rsid w:val="004677DB"/>
    <w:rsid w:val="00476256"/>
    <w:rsid w:val="00483033"/>
    <w:rsid w:val="0048630F"/>
    <w:rsid w:val="004947A1"/>
    <w:rsid w:val="0049482A"/>
    <w:rsid w:val="004979D3"/>
    <w:rsid w:val="004A00E7"/>
    <w:rsid w:val="004A3A61"/>
    <w:rsid w:val="004B497E"/>
    <w:rsid w:val="004B59BA"/>
    <w:rsid w:val="004B5A03"/>
    <w:rsid w:val="004C263A"/>
    <w:rsid w:val="004C6221"/>
    <w:rsid w:val="004D48A6"/>
    <w:rsid w:val="004D70B6"/>
    <w:rsid w:val="004D7B8F"/>
    <w:rsid w:val="004E241F"/>
    <w:rsid w:val="004E6458"/>
    <w:rsid w:val="004E6E7D"/>
    <w:rsid w:val="004F1AAC"/>
    <w:rsid w:val="004F1AE2"/>
    <w:rsid w:val="004F34F0"/>
    <w:rsid w:val="004F3B2B"/>
    <w:rsid w:val="004F6050"/>
    <w:rsid w:val="005005EF"/>
    <w:rsid w:val="00504E58"/>
    <w:rsid w:val="005123C2"/>
    <w:rsid w:val="0052144B"/>
    <w:rsid w:val="00524066"/>
    <w:rsid w:val="00526A0F"/>
    <w:rsid w:val="00534E11"/>
    <w:rsid w:val="005378D8"/>
    <w:rsid w:val="005400D9"/>
    <w:rsid w:val="005476A4"/>
    <w:rsid w:val="0055019B"/>
    <w:rsid w:val="005510C6"/>
    <w:rsid w:val="00556E63"/>
    <w:rsid w:val="005601A4"/>
    <w:rsid w:val="00566DBB"/>
    <w:rsid w:val="00567B14"/>
    <w:rsid w:val="005767DB"/>
    <w:rsid w:val="005815E6"/>
    <w:rsid w:val="0058712F"/>
    <w:rsid w:val="005976CE"/>
    <w:rsid w:val="005A23D4"/>
    <w:rsid w:val="005A2D1E"/>
    <w:rsid w:val="005A3C8D"/>
    <w:rsid w:val="005A4698"/>
    <w:rsid w:val="005A6A94"/>
    <w:rsid w:val="005A6C99"/>
    <w:rsid w:val="005B3756"/>
    <w:rsid w:val="005B7DCD"/>
    <w:rsid w:val="005C493F"/>
    <w:rsid w:val="005C6BF7"/>
    <w:rsid w:val="005C71BF"/>
    <w:rsid w:val="005D002C"/>
    <w:rsid w:val="005D30E1"/>
    <w:rsid w:val="005D6555"/>
    <w:rsid w:val="005D7BDF"/>
    <w:rsid w:val="005E4870"/>
    <w:rsid w:val="005F2049"/>
    <w:rsid w:val="005F71D9"/>
    <w:rsid w:val="005F7602"/>
    <w:rsid w:val="006062BE"/>
    <w:rsid w:val="00613143"/>
    <w:rsid w:val="00613501"/>
    <w:rsid w:val="0061611B"/>
    <w:rsid w:val="006166A8"/>
    <w:rsid w:val="006174A1"/>
    <w:rsid w:val="00621D6C"/>
    <w:rsid w:val="00633B49"/>
    <w:rsid w:val="0064297F"/>
    <w:rsid w:val="00645102"/>
    <w:rsid w:val="00646CF3"/>
    <w:rsid w:val="00653D11"/>
    <w:rsid w:val="00662983"/>
    <w:rsid w:val="00672934"/>
    <w:rsid w:val="006834D3"/>
    <w:rsid w:val="00692625"/>
    <w:rsid w:val="00695CD3"/>
    <w:rsid w:val="006A38B6"/>
    <w:rsid w:val="006B1987"/>
    <w:rsid w:val="006B5B71"/>
    <w:rsid w:val="006B5D3E"/>
    <w:rsid w:val="006B6CB0"/>
    <w:rsid w:val="006C2B64"/>
    <w:rsid w:val="006D1BF3"/>
    <w:rsid w:val="006D4C85"/>
    <w:rsid w:val="006D66AC"/>
    <w:rsid w:val="006E33F6"/>
    <w:rsid w:val="006F1251"/>
    <w:rsid w:val="006F1C23"/>
    <w:rsid w:val="00702C18"/>
    <w:rsid w:val="00703166"/>
    <w:rsid w:val="0070734D"/>
    <w:rsid w:val="007111C4"/>
    <w:rsid w:val="007127F3"/>
    <w:rsid w:val="00714617"/>
    <w:rsid w:val="007301CF"/>
    <w:rsid w:val="007316FB"/>
    <w:rsid w:val="00737E2D"/>
    <w:rsid w:val="007424D5"/>
    <w:rsid w:val="00745C63"/>
    <w:rsid w:val="00750A88"/>
    <w:rsid w:val="007523DD"/>
    <w:rsid w:val="00757B7E"/>
    <w:rsid w:val="007656B2"/>
    <w:rsid w:val="0077016F"/>
    <w:rsid w:val="007713AD"/>
    <w:rsid w:val="00795DC5"/>
    <w:rsid w:val="00797153"/>
    <w:rsid w:val="007A21F7"/>
    <w:rsid w:val="007A2B68"/>
    <w:rsid w:val="007B0DDA"/>
    <w:rsid w:val="007C69D7"/>
    <w:rsid w:val="007D3347"/>
    <w:rsid w:val="007D654E"/>
    <w:rsid w:val="007E1D47"/>
    <w:rsid w:val="007E5466"/>
    <w:rsid w:val="007F1949"/>
    <w:rsid w:val="007F2592"/>
    <w:rsid w:val="007F44AB"/>
    <w:rsid w:val="007F65D0"/>
    <w:rsid w:val="00800A08"/>
    <w:rsid w:val="00804470"/>
    <w:rsid w:val="00817A84"/>
    <w:rsid w:val="008225A4"/>
    <w:rsid w:val="00824094"/>
    <w:rsid w:val="00824B92"/>
    <w:rsid w:val="00826D5E"/>
    <w:rsid w:val="00832013"/>
    <w:rsid w:val="00832DB7"/>
    <w:rsid w:val="00834732"/>
    <w:rsid w:val="0085075F"/>
    <w:rsid w:val="0085200C"/>
    <w:rsid w:val="00853487"/>
    <w:rsid w:val="00853C0B"/>
    <w:rsid w:val="008567D9"/>
    <w:rsid w:val="00857C52"/>
    <w:rsid w:val="00860D5F"/>
    <w:rsid w:val="00880A44"/>
    <w:rsid w:val="0088345E"/>
    <w:rsid w:val="0088656F"/>
    <w:rsid w:val="008875BC"/>
    <w:rsid w:val="00891EF6"/>
    <w:rsid w:val="00892FF4"/>
    <w:rsid w:val="0089345A"/>
    <w:rsid w:val="008A0303"/>
    <w:rsid w:val="008A5FDD"/>
    <w:rsid w:val="008C3947"/>
    <w:rsid w:val="008C4044"/>
    <w:rsid w:val="008D7DA3"/>
    <w:rsid w:val="008E473B"/>
    <w:rsid w:val="008E51A6"/>
    <w:rsid w:val="008E7329"/>
    <w:rsid w:val="008F2ED5"/>
    <w:rsid w:val="0092297E"/>
    <w:rsid w:val="00923292"/>
    <w:rsid w:val="00923651"/>
    <w:rsid w:val="00924DF7"/>
    <w:rsid w:val="00927B56"/>
    <w:rsid w:val="009341BF"/>
    <w:rsid w:val="00937907"/>
    <w:rsid w:val="00941739"/>
    <w:rsid w:val="00951573"/>
    <w:rsid w:val="00957EA1"/>
    <w:rsid w:val="00963003"/>
    <w:rsid w:val="00965919"/>
    <w:rsid w:val="00966EEF"/>
    <w:rsid w:val="00971B28"/>
    <w:rsid w:val="00983471"/>
    <w:rsid w:val="009909AB"/>
    <w:rsid w:val="009926B6"/>
    <w:rsid w:val="009942E7"/>
    <w:rsid w:val="009960C9"/>
    <w:rsid w:val="009B37DB"/>
    <w:rsid w:val="009B4809"/>
    <w:rsid w:val="009C6EC9"/>
    <w:rsid w:val="009C7A8C"/>
    <w:rsid w:val="009D23F9"/>
    <w:rsid w:val="009D4FA8"/>
    <w:rsid w:val="009E44AE"/>
    <w:rsid w:val="009E6CD6"/>
    <w:rsid w:val="009F06E4"/>
    <w:rsid w:val="009F4D66"/>
    <w:rsid w:val="00A00C3C"/>
    <w:rsid w:val="00A01091"/>
    <w:rsid w:val="00A042B9"/>
    <w:rsid w:val="00A06DBB"/>
    <w:rsid w:val="00A22ADF"/>
    <w:rsid w:val="00A2310D"/>
    <w:rsid w:val="00A254A2"/>
    <w:rsid w:val="00A25BC3"/>
    <w:rsid w:val="00A31E86"/>
    <w:rsid w:val="00A43CA9"/>
    <w:rsid w:val="00A464A5"/>
    <w:rsid w:val="00A54D87"/>
    <w:rsid w:val="00A5553C"/>
    <w:rsid w:val="00A701C9"/>
    <w:rsid w:val="00A81785"/>
    <w:rsid w:val="00A84803"/>
    <w:rsid w:val="00A84C51"/>
    <w:rsid w:val="00A86F2B"/>
    <w:rsid w:val="00A91366"/>
    <w:rsid w:val="00A92F91"/>
    <w:rsid w:val="00A93AA6"/>
    <w:rsid w:val="00A9434B"/>
    <w:rsid w:val="00AA4E48"/>
    <w:rsid w:val="00AA6202"/>
    <w:rsid w:val="00AA7B57"/>
    <w:rsid w:val="00AB2806"/>
    <w:rsid w:val="00AB2D54"/>
    <w:rsid w:val="00AC26FC"/>
    <w:rsid w:val="00AC4A99"/>
    <w:rsid w:val="00AC5129"/>
    <w:rsid w:val="00AC64D2"/>
    <w:rsid w:val="00AD02E7"/>
    <w:rsid w:val="00AE0FE8"/>
    <w:rsid w:val="00AF60D5"/>
    <w:rsid w:val="00B00959"/>
    <w:rsid w:val="00B04415"/>
    <w:rsid w:val="00B06509"/>
    <w:rsid w:val="00B11D60"/>
    <w:rsid w:val="00B13D65"/>
    <w:rsid w:val="00B21805"/>
    <w:rsid w:val="00B21A8A"/>
    <w:rsid w:val="00B259E1"/>
    <w:rsid w:val="00B3072E"/>
    <w:rsid w:val="00B36E15"/>
    <w:rsid w:val="00B37245"/>
    <w:rsid w:val="00B4017A"/>
    <w:rsid w:val="00B40BA4"/>
    <w:rsid w:val="00B4468D"/>
    <w:rsid w:val="00B71C72"/>
    <w:rsid w:val="00B71F04"/>
    <w:rsid w:val="00B74A62"/>
    <w:rsid w:val="00B811A4"/>
    <w:rsid w:val="00B81E92"/>
    <w:rsid w:val="00B908D7"/>
    <w:rsid w:val="00B935E8"/>
    <w:rsid w:val="00B93B30"/>
    <w:rsid w:val="00B94CB5"/>
    <w:rsid w:val="00BA0DD9"/>
    <w:rsid w:val="00BA5DBC"/>
    <w:rsid w:val="00BA6584"/>
    <w:rsid w:val="00BB6312"/>
    <w:rsid w:val="00BC39C2"/>
    <w:rsid w:val="00BC4D06"/>
    <w:rsid w:val="00BD05E1"/>
    <w:rsid w:val="00BD585E"/>
    <w:rsid w:val="00BD6919"/>
    <w:rsid w:val="00BE1EA7"/>
    <w:rsid w:val="00BE7489"/>
    <w:rsid w:val="00BF2E0D"/>
    <w:rsid w:val="00BF3927"/>
    <w:rsid w:val="00BF3F8B"/>
    <w:rsid w:val="00BF76DA"/>
    <w:rsid w:val="00C00CDB"/>
    <w:rsid w:val="00C07C7B"/>
    <w:rsid w:val="00C16245"/>
    <w:rsid w:val="00C22DC5"/>
    <w:rsid w:val="00C24479"/>
    <w:rsid w:val="00C273F2"/>
    <w:rsid w:val="00C36B3E"/>
    <w:rsid w:val="00C37B53"/>
    <w:rsid w:val="00C434EB"/>
    <w:rsid w:val="00C517D2"/>
    <w:rsid w:val="00C5772E"/>
    <w:rsid w:val="00C62B36"/>
    <w:rsid w:val="00C7012C"/>
    <w:rsid w:val="00C712EA"/>
    <w:rsid w:val="00C769B9"/>
    <w:rsid w:val="00C87688"/>
    <w:rsid w:val="00C9728E"/>
    <w:rsid w:val="00CA217D"/>
    <w:rsid w:val="00CA3131"/>
    <w:rsid w:val="00CB7CFC"/>
    <w:rsid w:val="00CC09D4"/>
    <w:rsid w:val="00CC4F5F"/>
    <w:rsid w:val="00CC668D"/>
    <w:rsid w:val="00CC7832"/>
    <w:rsid w:val="00CD488E"/>
    <w:rsid w:val="00CE4B0B"/>
    <w:rsid w:val="00CF0C1C"/>
    <w:rsid w:val="00CF27FD"/>
    <w:rsid w:val="00CF41E6"/>
    <w:rsid w:val="00CF5F12"/>
    <w:rsid w:val="00D00D8F"/>
    <w:rsid w:val="00D05E25"/>
    <w:rsid w:val="00D12869"/>
    <w:rsid w:val="00D14512"/>
    <w:rsid w:val="00D15ED6"/>
    <w:rsid w:val="00D21F3A"/>
    <w:rsid w:val="00D23808"/>
    <w:rsid w:val="00D3016A"/>
    <w:rsid w:val="00D33EAA"/>
    <w:rsid w:val="00D3739E"/>
    <w:rsid w:val="00D417D2"/>
    <w:rsid w:val="00D42960"/>
    <w:rsid w:val="00D43BD7"/>
    <w:rsid w:val="00D4485B"/>
    <w:rsid w:val="00D46CCD"/>
    <w:rsid w:val="00D4708D"/>
    <w:rsid w:val="00D4744C"/>
    <w:rsid w:val="00D51046"/>
    <w:rsid w:val="00D521DE"/>
    <w:rsid w:val="00D5353E"/>
    <w:rsid w:val="00D5470B"/>
    <w:rsid w:val="00D63068"/>
    <w:rsid w:val="00D6498C"/>
    <w:rsid w:val="00D67854"/>
    <w:rsid w:val="00D67BAF"/>
    <w:rsid w:val="00D76A70"/>
    <w:rsid w:val="00D83182"/>
    <w:rsid w:val="00D8521E"/>
    <w:rsid w:val="00D9291C"/>
    <w:rsid w:val="00D93A97"/>
    <w:rsid w:val="00D93CE6"/>
    <w:rsid w:val="00DA5602"/>
    <w:rsid w:val="00DB1F64"/>
    <w:rsid w:val="00DC261A"/>
    <w:rsid w:val="00DC2F53"/>
    <w:rsid w:val="00DC5BAC"/>
    <w:rsid w:val="00DC6816"/>
    <w:rsid w:val="00DC76C2"/>
    <w:rsid w:val="00DD1CF2"/>
    <w:rsid w:val="00DD46C9"/>
    <w:rsid w:val="00DD46F7"/>
    <w:rsid w:val="00DE4484"/>
    <w:rsid w:val="00DF41B7"/>
    <w:rsid w:val="00DF4A4A"/>
    <w:rsid w:val="00DF583C"/>
    <w:rsid w:val="00E03C3F"/>
    <w:rsid w:val="00E06FD7"/>
    <w:rsid w:val="00E07417"/>
    <w:rsid w:val="00E24D45"/>
    <w:rsid w:val="00E33DB8"/>
    <w:rsid w:val="00E33EFF"/>
    <w:rsid w:val="00E34387"/>
    <w:rsid w:val="00E348BA"/>
    <w:rsid w:val="00E369FE"/>
    <w:rsid w:val="00E37C6F"/>
    <w:rsid w:val="00E475F8"/>
    <w:rsid w:val="00E5102E"/>
    <w:rsid w:val="00E562EE"/>
    <w:rsid w:val="00E5721C"/>
    <w:rsid w:val="00E619C6"/>
    <w:rsid w:val="00E70CED"/>
    <w:rsid w:val="00E745A1"/>
    <w:rsid w:val="00E81529"/>
    <w:rsid w:val="00E83A13"/>
    <w:rsid w:val="00E95633"/>
    <w:rsid w:val="00EA0AB2"/>
    <w:rsid w:val="00EB1151"/>
    <w:rsid w:val="00EB216A"/>
    <w:rsid w:val="00EB6FC5"/>
    <w:rsid w:val="00EC2356"/>
    <w:rsid w:val="00EC2582"/>
    <w:rsid w:val="00EC337C"/>
    <w:rsid w:val="00ED0CFF"/>
    <w:rsid w:val="00ED31D2"/>
    <w:rsid w:val="00ED4C6D"/>
    <w:rsid w:val="00EE0EAC"/>
    <w:rsid w:val="00EE3322"/>
    <w:rsid w:val="00EE33CB"/>
    <w:rsid w:val="00F0061A"/>
    <w:rsid w:val="00F02834"/>
    <w:rsid w:val="00F04EEB"/>
    <w:rsid w:val="00F05467"/>
    <w:rsid w:val="00F055D2"/>
    <w:rsid w:val="00F07CD7"/>
    <w:rsid w:val="00F127E9"/>
    <w:rsid w:val="00F14477"/>
    <w:rsid w:val="00F14B5D"/>
    <w:rsid w:val="00F259FC"/>
    <w:rsid w:val="00F313F4"/>
    <w:rsid w:val="00F36972"/>
    <w:rsid w:val="00F41F40"/>
    <w:rsid w:val="00F42426"/>
    <w:rsid w:val="00F44F01"/>
    <w:rsid w:val="00F456BC"/>
    <w:rsid w:val="00F50666"/>
    <w:rsid w:val="00F70731"/>
    <w:rsid w:val="00F70C9E"/>
    <w:rsid w:val="00F74A74"/>
    <w:rsid w:val="00F7572C"/>
    <w:rsid w:val="00F8382C"/>
    <w:rsid w:val="00F855D7"/>
    <w:rsid w:val="00F92035"/>
    <w:rsid w:val="00F92748"/>
    <w:rsid w:val="00FA4169"/>
    <w:rsid w:val="00FB0D41"/>
    <w:rsid w:val="00FB2030"/>
    <w:rsid w:val="00FB6DAA"/>
    <w:rsid w:val="00FD0E46"/>
    <w:rsid w:val="00FD1060"/>
    <w:rsid w:val="00FD1CF2"/>
    <w:rsid w:val="00FD3EDF"/>
    <w:rsid w:val="00FD5960"/>
    <w:rsid w:val="00FD793C"/>
    <w:rsid w:val="00FE0FD5"/>
    <w:rsid w:val="00FE20E6"/>
    <w:rsid w:val="00FE3E3B"/>
    <w:rsid w:val="00FE5878"/>
    <w:rsid w:val="00FF4032"/>
    <w:rsid w:val="00FF4A2E"/>
    <w:rsid w:val="00FF6469"/>
    <w:rsid w:val="00FF7E4A"/>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FE6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81529"/>
    <w:rPr>
      <w:sz w:val="24"/>
      <w:szCs w:val="24"/>
      <w:lang w:eastAsia="en-US"/>
    </w:rPr>
  </w:style>
  <w:style w:type="paragraph" w:styleId="Antrat1">
    <w:name w:val="heading 1"/>
    <w:aliases w:val="NICE Doc B Heading 1,- H33,Header 1"/>
    <w:basedOn w:val="prastasis"/>
    <w:next w:val="prastasis"/>
    <w:link w:val="Antrat1Diagrama"/>
    <w:qFormat/>
    <w:rsid w:val="00A84C51"/>
    <w:pPr>
      <w:keepNext/>
      <w:jc w:val="center"/>
      <w:outlineLvl w:val="0"/>
    </w:pPr>
    <w:rPr>
      <w:b/>
      <w:bCs/>
      <w:caps/>
    </w:rPr>
  </w:style>
  <w:style w:type="paragraph" w:styleId="Antrat2">
    <w:name w:val="heading 2"/>
    <w:basedOn w:val="prastasis"/>
    <w:next w:val="prastasis"/>
    <w:qFormat/>
    <w:rsid w:val="00A84C51"/>
    <w:pPr>
      <w:keepNext/>
      <w:jc w:val="center"/>
      <w:outlineLvl w:val="1"/>
    </w:pPr>
    <w:rPr>
      <w:b/>
      <w:bCs/>
      <w:cap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84C51"/>
    <w:pPr>
      <w:tabs>
        <w:tab w:val="center" w:pos="4986"/>
        <w:tab w:val="right" w:pos="9972"/>
      </w:tabs>
    </w:pPr>
  </w:style>
  <w:style w:type="paragraph" w:styleId="Porat">
    <w:name w:val="footer"/>
    <w:basedOn w:val="prastasis"/>
    <w:link w:val="PoratDiagrama"/>
    <w:rsid w:val="00A84C51"/>
    <w:pPr>
      <w:tabs>
        <w:tab w:val="center" w:pos="4986"/>
        <w:tab w:val="right" w:pos="9972"/>
      </w:tabs>
    </w:pPr>
  </w:style>
  <w:style w:type="character" w:styleId="Puslapionumeris">
    <w:name w:val="page number"/>
    <w:basedOn w:val="Numatytasispastraiposriftas"/>
    <w:rsid w:val="00A84C51"/>
  </w:style>
  <w:style w:type="character" w:styleId="Hipersaitas">
    <w:name w:val="Hyperlink"/>
    <w:basedOn w:val="Numatytasispastraiposriftas"/>
    <w:rsid w:val="00A84C51"/>
    <w:rPr>
      <w:color w:val="0000FF"/>
      <w:u w:val="single"/>
    </w:rPr>
  </w:style>
  <w:style w:type="paragraph" w:styleId="Debesliotekstas">
    <w:name w:val="Balloon Text"/>
    <w:basedOn w:val="prastasis"/>
    <w:semiHidden/>
    <w:rsid w:val="00EC2356"/>
    <w:rPr>
      <w:rFonts w:ascii="Tahoma" w:hAnsi="Tahoma" w:cs="Tahoma"/>
      <w:sz w:val="16"/>
      <w:szCs w:val="16"/>
    </w:rPr>
  </w:style>
  <w:style w:type="character" w:customStyle="1" w:styleId="PoratDiagrama">
    <w:name w:val="Poraštė Diagrama"/>
    <w:basedOn w:val="Numatytasispastraiposriftas"/>
    <w:link w:val="Porat"/>
    <w:rsid w:val="00737E2D"/>
    <w:rPr>
      <w:sz w:val="24"/>
      <w:szCs w:val="24"/>
      <w:lang w:eastAsia="en-US"/>
    </w:rPr>
  </w:style>
  <w:style w:type="character" w:customStyle="1" w:styleId="Neapdorotaspaminjimas1">
    <w:name w:val="Neapdorotas paminėjimas1"/>
    <w:basedOn w:val="Numatytasispastraiposriftas"/>
    <w:uiPriority w:val="99"/>
    <w:semiHidden/>
    <w:unhideWhenUsed/>
    <w:rsid w:val="00A31E86"/>
    <w:rPr>
      <w:color w:val="605E5C"/>
      <w:shd w:val="clear" w:color="auto" w:fill="E1DFDD"/>
    </w:rPr>
  </w:style>
  <w:style w:type="character" w:styleId="Perirtashipersaitas">
    <w:name w:val="FollowedHyperlink"/>
    <w:basedOn w:val="Numatytasispastraiposriftas"/>
    <w:semiHidden/>
    <w:unhideWhenUsed/>
    <w:rsid w:val="00A31E86"/>
    <w:rPr>
      <w:color w:val="800080" w:themeColor="followedHyperlink"/>
      <w:u w:val="single"/>
    </w:rPr>
  </w:style>
  <w:style w:type="table" w:styleId="Lentelstinklelis">
    <w:name w:val="Table Grid"/>
    <w:aliases w:val="Summary box,Source table_,Dossier table,Summary Table,Section 3- footnotes,Tabellengitternetz 9pt,Table Grid nm,Lash Style Table,EVD CLL,Dossier Table,YHEC table"/>
    <w:basedOn w:val="prastojilentel"/>
    <w:qFormat/>
    <w:rsid w:val="00D42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C7012C"/>
    <w:rPr>
      <w:sz w:val="16"/>
      <w:szCs w:val="16"/>
    </w:rPr>
  </w:style>
  <w:style w:type="paragraph" w:styleId="Komentarotekstas">
    <w:name w:val="annotation text"/>
    <w:basedOn w:val="prastasis"/>
    <w:link w:val="KomentarotekstasDiagrama"/>
    <w:unhideWhenUsed/>
    <w:rsid w:val="00C7012C"/>
    <w:rPr>
      <w:sz w:val="20"/>
      <w:szCs w:val="20"/>
    </w:rPr>
  </w:style>
  <w:style w:type="character" w:customStyle="1" w:styleId="KomentarotekstasDiagrama">
    <w:name w:val="Komentaro tekstas Diagrama"/>
    <w:basedOn w:val="Numatytasispastraiposriftas"/>
    <w:link w:val="Komentarotekstas"/>
    <w:rsid w:val="00C7012C"/>
    <w:rPr>
      <w:lang w:eastAsia="en-US"/>
    </w:rPr>
  </w:style>
  <w:style w:type="paragraph" w:styleId="Komentarotema">
    <w:name w:val="annotation subject"/>
    <w:basedOn w:val="Komentarotekstas"/>
    <w:next w:val="Komentarotekstas"/>
    <w:link w:val="KomentarotemaDiagrama"/>
    <w:semiHidden/>
    <w:unhideWhenUsed/>
    <w:rsid w:val="00C7012C"/>
    <w:rPr>
      <w:b/>
      <w:bCs/>
    </w:rPr>
  </w:style>
  <w:style w:type="character" w:customStyle="1" w:styleId="KomentarotemaDiagrama">
    <w:name w:val="Komentaro tema Diagrama"/>
    <w:basedOn w:val="KomentarotekstasDiagrama"/>
    <w:link w:val="Komentarotema"/>
    <w:semiHidden/>
    <w:rsid w:val="00C7012C"/>
    <w:rPr>
      <w:b/>
      <w:bCs/>
      <w:lang w:eastAsia="en-US"/>
    </w:rPr>
  </w:style>
  <w:style w:type="paragraph" w:styleId="Sraopastraipa">
    <w:name w:val="List Paragraph"/>
    <w:basedOn w:val="prastasis"/>
    <w:uiPriority w:val="34"/>
    <w:qFormat/>
    <w:rsid w:val="00104E2E"/>
    <w:pPr>
      <w:ind w:left="720"/>
      <w:contextualSpacing/>
    </w:pPr>
  </w:style>
  <w:style w:type="character" w:customStyle="1" w:styleId="Style2">
    <w:name w:val="Style2"/>
    <w:basedOn w:val="Numatytasispastraiposriftas"/>
    <w:uiPriority w:val="1"/>
    <w:rsid w:val="00D6498C"/>
    <w:rPr>
      <w:sz w:val="32"/>
    </w:rPr>
  </w:style>
  <w:style w:type="character" w:styleId="Vietosrezervavimoenklotekstas">
    <w:name w:val="Placeholder Text"/>
    <w:basedOn w:val="Numatytasispastraiposriftas"/>
    <w:uiPriority w:val="99"/>
    <w:rsid w:val="00B13D65"/>
    <w:rPr>
      <w:color w:val="808080"/>
    </w:rPr>
  </w:style>
  <w:style w:type="paragraph" w:styleId="Betarp">
    <w:name w:val="No Spacing"/>
    <w:uiPriority w:val="1"/>
    <w:qFormat/>
    <w:rsid w:val="00B13D65"/>
    <w:rPr>
      <w:rFonts w:ascii="Calibri" w:eastAsia="Calibri" w:hAnsi="Calibri"/>
      <w:sz w:val="22"/>
      <w:szCs w:val="22"/>
      <w:lang w:eastAsia="en-US"/>
    </w:rPr>
  </w:style>
  <w:style w:type="table" w:customStyle="1" w:styleId="Lentelstinklelis1">
    <w:name w:val="Lentelės tinklelis1"/>
    <w:basedOn w:val="prastojilentel"/>
    <w:next w:val="Lentelstinklelis"/>
    <w:rsid w:val="009E44AE"/>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taisymai">
    <w:name w:val="Revision"/>
    <w:hidden/>
    <w:uiPriority w:val="99"/>
    <w:semiHidden/>
    <w:rsid w:val="00476256"/>
    <w:rPr>
      <w:sz w:val="24"/>
      <w:szCs w:val="24"/>
      <w:lang w:eastAsia="en-US"/>
    </w:rPr>
  </w:style>
  <w:style w:type="character" w:styleId="Grietas">
    <w:name w:val="Strong"/>
    <w:aliases w:val="Table Summary KVM"/>
    <w:basedOn w:val="Numatytasispastraiposriftas"/>
    <w:uiPriority w:val="22"/>
    <w:qFormat/>
    <w:rsid w:val="00A25BC3"/>
    <w:rPr>
      <w:b/>
      <w:bCs/>
    </w:rPr>
  </w:style>
  <w:style w:type="character" w:customStyle="1" w:styleId="Antrat1Diagrama">
    <w:name w:val="Antraštė 1 Diagrama"/>
    <w:aliases w:val="NICE Doc B Heading 1 Diagrama,- H33 Diagrama,Header 1 Diagrama"/>
    <w:basedOn w:val="Numatytasispastraiposriftas"/>
    <w:link w:val="Antrat1"/>
    <w:rsid w:val="003E0B83"/>
    <w:rPr>
      <w:b/>
      <w:bCs/>
      <w:cap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802146">
      <w:bodyDiv w:val="1"/>
      <w:marLeft w:val="0"/>
      <w:marRight w:val="0"/>
      <w:marTop w:val="0"/>
      <w:marBottom w:val="0"/>
      <w:divBdr>
        <w:top w:val="none" w:sz="0" w:space="0" w:color="auto"/>
        <w:left w:val="none" w:sz="0" w:space="0" w:color="auto"/>
        <w:bottom w:val="none" w:sz="0" w:space="0" w:color="auto"/>
        <w:right w:val="none" w:sz="0" w:space="0" w:color="auto"/>
      </w:divBdr>
    </w:div>
    <w:div w:id="159778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04B2222626447DA9E6752766913F9B"/>
        <w:category>
          <w:name w:val="General"/>
          <w:gallery w:val="placeholder"/>
        </w:category>
        <w:types>
          <w:type w:val="bbPlcHdr"/>
        </w:types>
        <w:behaviors>
          <w:behavior w:val="content"/>
        </w:behaviors>
        <w:guid w:val="{4153AA99-F9E4-4A24-BD11-05175DD7C51A}"/>
      </w:docPartPr>
      <w:docPartBody>
        <w:p w:rsidR="009B574D" w:rsidRDefault="00B427E6" w:rsidP="00B427E6">
          <w:pPr>
            <w:pStyle w:val="6B04B2222626447DA9E6752766913F9B"/>
          </w:pPr>
          <w:r>
            <w:rPr>
              <w:rStyle w:val="Vietosrezervavimoenklotekstas"/>
            </w:rPr>
            <w:t>Click here to enter a date.</w:t>
          </w:r>
        </w:p>
      </w:docPartBody>
    </w:docPart>
    <w:docPart>
      <w:docPartPr>
        <w:name w:val="49158872CED14898AE5B691B580FEE3B"/>
        <w:category>
          <w:name w:val="General"/>
          <w:gallery w:val="placeholder"/>
        </w:category>
        <w:types>
          <w:type w:val="bbPlcHdr"/>
        </w:types>
        <w:behaviors>
          <w:behavior w:val="content"/>
        </w:behaviors>
        <w:guid w:val="{F3D029A1-9163-4459-B2CF-D1F3579440EA}"/>
      </w:docPartPr>
      <w:docPartBody>
        <w:p w:rsidR="00105763" w:rsidRDefault="00D04CDD" w:rsidP="00D04CDD">
          <w:pPr>
            <w:pStyle w:val="49158872CED14898AE5B691B580FEE3B"/>
          </w:pPr>
          <w:r>
            <w:rPr>
              <w:rStyle w:val="Vietosrezervavimoenklotekstas"/>
            </w:rPr>
            <w:t>Click here to enter a date.</w:t>
          </w:r>
        </w:p>
      </w:docPartBody>
    </w:docPart>
    <w:docPart>
      <w:docPartPr>
        <w:name w:val="C9308B85C0C544B2BE53E6846E9EAA9C"/>
        <w:category>
          <w:name w:val="General"/>
          <w:gallery w:val="placeholder"/>
        </w:category>
        <w:types>
          <w:type w:val="bbPlcHdr"/>
        </w:types>
        <w:behaviors>
          <w:behavior w:val="content"/>
        </w:behaviors>
        <w:guid w:val="{3A32BAE2-45B3-44DE-BC36-134D5FC1FFFB}"/>
      </w:docPartPr>
      <w:docPartBody>
        <w:p w:rsidR="00105763" w:rsidRDefault="00D04CDD" w:rsidP="00D04CDD">
          <w:pPr>
            <w:pStyle w:val="C9308B85C0C544B2BE53E6846E9EAA9C"/>
          </w:pPr>
          <w:r>
            <w:rPr>
              <w:rStyle w:val="Vietosrezervavimoenklotekstas"/>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0DD"/>
    <w:rsid w:val="0001247F"/>
    <w:rsid w:val="00047C19"/>
    <w:rsid w:val="00061157"/>
    <w:rsid w:val="000624FF"/>
    <w:rsid w:val="000937FE"/>
    <w:rsid w:val="000A50C9"/>
    <w:rsid w:val="000A559A"/>
    <w:rsid w:val="000B6B85"/>
    <w:rsid w:val="000D24D4"/>
    <w:rsid w:val="000D6217"/>
    <w:rsid w:val="00105763"/>
    <w:rsid w:val="0014006D"/>
    <w:rsid w:val="001C35A9"/>
    <w:rsid w:val="001C693F"/>
    <w:rsid w:val="00237556"/>
    <w:rsid w:val="002C0686"/>
    <w:rsid w:val="002F69AD"/>
    <w:rsid w:val="0039303B"/>
    <w:rsid w:val="004144A3"/>
    <w:rsid w:val="004160E7"/>
    <w:rsid w:val="004416C6"/>
    <w:rsid w:val="00456E96"/>
    <w:rsid w:val="004C6221"/>
    <w:rsid w:val="004D038D"/>
    <w:rsid w:val="004F4E20"/>
    <w:rsid w:val="004F5AB2"/>
    <w:rsid w:val="00504E58"/>
    <w:rsid w:val="005074B9"/>
    <w:rsid w:val="005510C6"/>
    <w:rsid w:val="00563A5F"/>
    <w:rsid w:val="005C62E5"/>
    <w:rsid w:val="005E40DD"/>
    <w:rsid w:val="00601F4E"/>
    <w:rsid w:val="00617B8F"/>
    <w:rsid w:val="00691EA5"/>
    <w:rsid w:val="006E6A2C"/>
    <w:rsid w:val="00714617"/>
    <w:rsid w:val="007219C1"/>
    <w:rsid w:val="007224A5"/>
    <w:rsid w:val="00745C63"/>
    <w:rsid w:val="00753462"/>
    <w:rsid w:val="00772325"/>
    <w:rsid w:val="007A2FE0"/>
    <w:rsid w:val="007C69D7"/>
    <w:rsid w:val="007C6D1D"/>
    <w:rsid w:val="007D654E"/>
    <w:rsid w:val="007E1D47"/>
    <w:rsid w:val="00804470"/>
    <w:rsid w:val="00805053"/>
    <w:rsid w:val="0085075F"/>
    <w:rsid w:val="00853487"/>
    <w:rsid w:val="00853C0B"/>
    <w:rsid w:val="008567D9"/>
    <w:rsid w:val="00892FF4"/>
    <w:rsid w:val="008C0DC0"/>
    <w:rsid w:val="0090074D"/>
    <w:rsid w:val="009019EA"/>
    <w:rsid w:val="00901A35"/>
    <w:rsid w:val="009926B6"/>
    <w:rsid w:val="009B3BF0"/>
    <w:rsid w:val="009B574D"/>
    <w:rsid w:val="009D5E5E"/>
    <w:rsid w:val="009F1BB4"/>
    <w:rsid w:val="00A20D39"/>
    <w:rsid w:val="00A254A2"/>
    <w:rsid w:val="00A962C8"/>
    <w:rsid w:val="00AB2D54"/>
    <w:rsid w:val="00AB6ED4"/>
    <w:rsid w:val="00B14210"/>
    <w:rsid w:val="00B22ED6"/>
    <w:rsid w:val="00B23DC0"/>
    <w:rsid w:val="00B259E1"/>
    <w:rsid w:val="00B31D4C"/>
    <w:rsid w:val="00B427E6"/>
    <w:rsid w:val="00B55976"/>
    <w:rsid w:val="00B71F04"/>
    <w:rsid w:val="00B96656"/>
    <w:rsid w:val="00BA0A8E"/>
    <w:rsid w:val="00BC72D2"/>
    <w:rsid w:val="00BE3364"/>
    <w:rsid w:val="00C2401D"/>
    <w:rsid w:val="00C250D7"/>
    <w:rsid w:val="00C53A68"/>
    <w:rsid w:val="00C63D8D"/>
    <w:rsid w:val="00C66578"/>
    <w:rsid w:val="00CA5BB4"/>
    <w:rsid w:val="00CB4BD1"/>
    <w:rsid w:val="00CB7CFC"/>
    <w:rsid w:val="00CD139C"/>
    <w:rsid w:val="00CE2DA9"/>
    <w:rsid w:val="00CE44BE"/>
    <w:rsid w:val="00D008F3"/>
    <w:rsid w:val="00D0142D"/>
    <w:rsid w:val="00D04CDD"/>
    <w:rsid w:val="00D04DFF"/>
    <w:rsid w:val="00D15ED6"/>
    <w:rsid w:val="00D20347"/>
    <w:rsid w:val="00D4356B"/>
    <w:rsid w:val="00D7162F"/>
    <w:rsid w:val="00DA599C"/>
    <w:rsid w:val="00DB4DB5"/>
    <w:rsid w:val="00DE4D10"/>
    <w:rsid w:val="00E44A86"/>
    <w:rsid w:val="00E522EB"/>
    <w:rsid w:val="00E60827"/>
    <w:rsid w:val="00E95633"/>
    <w:rsid w:val="00EF6E0C"/>
    <w:rsid w:val="00F14477"/>
    <w:rsid w:val="00F370E5"/>
    <w:rsid w:val="00F41F40"/>
    <w:rsid w:val="00F55028"/>
    <w:rsid w:val="00F677F0"/>
    <w:rsid w:val="00F77BEF"/>
    <w:rsid w:val="00FC755C"/>
    <w:rsid w:val="00FE0D46"/>
    <w:rsid w:val="00FE12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rsid w:val="00D04CDD"/>
    <w:rPr>
      <w:color w:val="808080"/>
    </w:rPr>
  </w:style>
  <w:style w:type="paragraph" w:customStyle="1" w:styleId="6B04B2222626447DA9E6752766913F9B">
    <w:name w:val="6B04B2222626447DA9E6752766913F9B"/>
    <w:rsid w:val="00B427E6"/>
    <w:pPr>
      <w:spacing w:line="278" w:lineRule="auto"/>
    </w:pPr>
    <w:rPr>
      <w:kern w:val="2"/>
      <w:sz w:val="24"/>
      <w:szCs w:val="24"/>
      <w14:ligatures w14:val="standardContextual"/>
    </w:rPr>
  </w:style>
  <w:style w:type="paragraph" w:customStyle="1" w:styleId="49158872CED14898AE5B691B580FEE3B">
    <w:name w:val="49158872CED14898AE5B691B580FEE3B"/>
    <w:rsid w:val="00D04CDD"/>
    <w:pPr>
      <w:spacing w:line="278" w:lineRule="auto"/>
    </w:pPr>
    <w:rPr>
      <w:kern w:val="2"/>
      <w:sz w:val="24"/>
      <w:szCs w:val="24"/>
      <w14:ligatures w14:val="standardContextual"/>
    </w:rPr>
  </w:style>
  <w:style w:type="paragraph" w:customStyle="1" w:styleId="C9308B85C0C544B2BE53E6846E9EAA9C">
    <w:name w:val="C9308B85C0C544B2BE53E6846E9EAA9C"/>
    <w:rsid w:val="00D04CD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3822B-A1B4-40F3-A978-D8B131E0C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15178</Words>
  <Characters>8652</Characters>
  <Application>Microsoft Office Word</Application>
  <DocSecurity>0</DocSecurity>
  <Lines>72</Lines>
  <Paragraphs>47</Paragraphs>
  <ScaleCrop>false</ScaleCrop>
  <Company/>
  <LinksUpToDate>false</LinksUpToDate>
  <CharactersWithSpaces>23783</CharactersWithSpaces>
  <SharedDoc>false</SharedDoc>
  <HLinks>
    <vt:vector size="6" baseType="variant">
      <vt:variant>
        <vt:i4>5308539</vt:i4>
      </vt:variant>
      <vt:variant>
        <vt:i4>6</vt:i4>
      </vt:variant>
      <vt:variant>
        <vt:i4>0</vt:i4>
      </vt:variant>
      <vt:variant>
        <vt:i4>5</vt:i4>
      </vt:variant>
      <vt:variant>
        <vt:lpwstr>mailto:vvkt@vvkt.lt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2026-07-30T04:46:00Z</dcterms:created>
  <dcterms:modified xsi:type="dcterms:W3CDTF">2026-08-11T06:43:00Z</dcterms:modified>
</cp:coreProperties>
</file>