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E5EB3" w14:textId="1955ADE3" w:rsidR="005F7602" w:rsidRPr="00753EC2" w:rsidRDefault="005F7602" w:rsidP="002946C7">
      <w:pPr>
        <w:ind w:left="5529"/>
        <w:rPr>
          <w:lang w:val="en-US"/>
        </w:rPr>
      </w:pPr>
    </w:p>
    <w:p w14:paraId="12FA4B9E" w14:textId="39AA3336" w:rsidR="001B3C5B" w:rsidRPr="000203E1" w:rsidRDefault="00DC261A" w:rsidP="001B3C5B">
      <w:pPr>
        <w:ind w:left="6096"/>
      </w:pPr>
      <w:bookmarkStart w:id="0" w:name="_Hlk189565243"/>
      <w:r w:rsidRPr="00DC261A">
        <w:t>PATVIRTINTA</w:t>
      </w:r>
    </w:p>
    <w:p w14:paraId="7206970B" w14:textId="70E9BD2E" w:rsidR="004C263A" w:rsidRPr="000203E1" w:rsidRDefault="001B3C5B" w:rsidP="001B3C5B">
      <w:pPr>
        <w:ind w:left="6096"/>
      </w:pPr>
      <w:r w:rsidRPr="000203E1">
        <w:t>Valstybinės vaistų kontrolės tarnybos prie Lietuvos Respublikos sveikatos apsaugos ministerijos viršininko 2021 m</w:t>
      </w:r>
      <w:r w:rsidR="004C263A" w:rsidRPr="000203E1">
        <w:t xml:space="preserve">. lapkričio 12 </w:t>
      </w:r>
      <w:r w:rsidRPr="000203E1">
        <w:t>d. įsakymu Nr.</w:t>
      </w:r>
      <w:r w:rsidR="004C263A" w:rsidRPr="000203E1">
        <w:t xml:space="preserve"> (1.72E)1A-1418</w:t>
      </w:r>
    </w:p>
    <w:p w14:paraId="5B219AA6" w14:textId="3A5D6CB4" w:rsidR="001B3C5B" w:rsidRPr="000203E1" w:rsidRDefault="004C263A" w:rsidP="001B3C5B">
      <w:pPr>
        <w:ind w:left="6096"/>
      </w:pPr>
      <w:r w:rsidRPr="000203E1">
        <w:t>(Valstybinės vaistų kontrolės tarnybos prie Lietuvos Respublikos sveikatos apsaugos ministerijos viršininko 202</w:t>
      </w:r>
      <w:r w:rsidR="00A2310D">
        <w:t>5</w:t>
      </w:r>
      <w:r w:rsidRPr="000203E1">
        <w:t xml:space="preserve"> m.                         d. įsakymo Nr.                    redakcija)</w:t>
      </w:r>
    </w:p>
    <w:p w14:paraId="3336BD74" w14:textId="77777777" w:rsidR="001B3C5B" w:rsidRPr="000203E1" w:rsidRDefault="001B3C5B" w:rsidP="00FA4169"/>
    <w:bookmarkEnd w:id="0"/>
    <w:p w14:paraId="77AFB67E" w14:textId="0FB133A2" w:rsidR="00613501" w:rsidRPr="000203E1" w:rsidRDefault="002F0E4F" w:rsidP="003B211A">
      <w:pPr>
        <w:jc w:val="center"/>
        <w:rPr>
          <w:b/>
          <w:bCs/>
          <w:caps/>
        </w:rPr>
      </w:pPr>
      <w:r w:rsidRPr="000203E1">
        <w:rPr>
          <w:b/>
        </w:rPr>
        <w:t xml:space="preserve">REKOMENDACIJA DĖL VAISTINIO PREPARATO </w:t>
      </w:r>
      <w:r w:rsidRPr="000203E1">
        <w:rPr>
          <w:b/>
          <w:bCs/>
          <w:caps/>
        </w:rPr>
        <w:t>Lietuvos Respublikos Sveikatos apsaugos ministerijos vaistinių preparatų ir medicinos pagalbos priemonių kompensavimo komisijai</w:t>
      </w:r>
    </w:p>
    <w:p w14:paraId="34E4395D" w14:textId="15FB10DF" w:rsidR="00B13D65" w:rsidRPr="000203E1" w:rsidRDefault="00B13D65" w:rsidP="003B211A">
      <w:pPr>
        <w:jc w:val="center"/>
        <w:rPr>
          <w:b/>
        </w:rPr>
      </w:pPr>
    </w:p>
    <w:p w14:paraId="1CE50A66" w14:textId="77777777" w:rsidR="006927E9" w:rsidRPr="009300B3" w:rsidRDefault="006927E9" w:rsidP="006927E9">
      <w:pPr>
        <w:spacing w:line="280" w:lineRule="atLeast"/>
        <w:jc w:val="center"/>
        <w:rPr>
          <w:rFonts w:eastAsia="Arial"/>
        </w:rPr>
      </w:pPr>
    </w:p>
    <w:p w14:paraId="5CE176EF" w14:textId="4CEE3C70" w:rsidR="006927E9" w:rsidRPr="009300B3" w:rsidRDefault="006927E9" w:rsidP="006927E9">
      <w:pPr>
        <w:jc w:val="center"/>
      </w:pPr>
      <w:r w:rsidRPr="005F4F7C">
        <w:rPr>
          <w:b/>
        </w:rPr>
        <w:t>Gazyvaro</w:t>
      </w:r>
      <w:r>
        <w:rPr>
          <w:b/>
        </w:rPr>
        <w:t xml:space="preserve"> </w:t>
      </w:r>
      <w:r w:rsidRPr="005F4F7C">
        <w:rPr>
          <w:b/>
        </w:rPr>
        <w:t xml:space="preserve">1 000 mg koncentratas infuziniam tirpalui </w:t>
      </w:r>
    </w:p>
    <w:p w14:paraId="509CA0CA" w14:textId="77777777" w:rsidR="006927E9" w:rsidRDefault="006927E9" w:rsidP="006927E9">
      <w:pPr>
        <w:jc w:val="center"/>
        <w:rPr>
          <w:b/>
        </w:rPr>
      </w:pPr>
      <w:r>
        <w:rPr>
          <w:b/>
        </w:rPr>
        <w:t>O</w:t>
      </w:r>
      <w:r w:rsidRPr="005F4F7C">
        <w:rPr>
          <w:b/>
        </w:rPr>
        <w:t>binutuzumabas</w:t>
      </w:r>
    </w:p>
    <w:p w14:paraId="23D149CA" w14:textId="77777777" w:rsidR="006927E9" w:rsidRPr="009300B3" w:rsidRDefault="006927E9" w:rsidP="006927E9">
      <w:pPr>
        <w:jc w:val="center"/>
      </w:pPr>
    </w:p>
    <w:p w14:paraId="2F088D25" w14:textId="77777777" w:rsidR="006927E9" w:rsidRPr="009300B3" w:rsidRDefault="006927E9" w:rsidP="006927E9">
      <w:pPr>
        <w:jc w:val="center"/>
      </w:pPr>
    </w:p>
    <w:p w14:paraId="761B9835" w14:textId="6F723488" w:rsidR="006927E9" w:rsidRPr="005F4F7C" w:rsidRDefault="006927E9" w:rsidP="006927E9">
      <w:pPr>
        <w:jc w:val="center"/>
        <w:rPr>
          <w:b/>
          <w:lang w:val="en-US"/>
        </w:rPr>
      </w:pPr>
      <w:r w:rsidRPr="009300B3">
        <w:rPr>
          <w:b/>
        </w:rPr>
        <w:t>Paraiškos numeris</w:t>
      </w:r>
      <w:r>
        <w:rPr>
          <w:b/>
        </w:rPr>
        <w:t xml:space="preserve"> STV</w:t>
      </w:r>
      <w:r w:rsidR="001002BF">
        <w:rPr>
          <w:b/>
        </w:rPr>
        <w:t>-</w:t>
      </w:r>
      <w:r>
        <w:rPr>
          <w:b/>
          <w:lang w:val="en-US"/>
        </w:rPr>
        <w:t>297</w:t>
      </w:r>
    </w:p>
    <w:p w14:paraId="1BAB2C4E" w14:textId="77777777" w:rsidR="006927E9" w:rsidRPr="009300B3" w:rsidRDefault="006927E9" w:rsidP="006927E9">
      <w:pPr>
        <w:spacing w:line="280" w:lineRule="atLeast"/>
        <w:jc w:val="center"/>
        <w:rPr>
          <w:rFonts w:eastAsia="Arial"/>
        </w:rPr>
      </w:pPr>
    </w:p>
    <w:p w14:paraId="10CF7A57" w14:textId="77777777" w:rsidR="006927E9" w:rsidRPr="009300B3" w:rsidRDefault="006927E9" w:rsidP="006927E9">
      <w:pPr>
        <w:pStyle w:val="ListParagraph"/>
        <w:numPr>
          <w:ilvl w:val="0"/>
          <w:numId w:val="16"/>
        </w:numPr>
        <w:tabs>
          <w:tab w:val="left" w:pos="284"/>
        </w:tabs>
        <w:spacing w:line="280" w:lineRule="atLeast"/>
        <w:jc w:val="center"/>
        <w:rPr>
          <w:rFonts w:eastAsia="Arial"/>
          <w:b/>
        </w:rPr>
      </w:pPr>
      <w:r w:rsidRPr="009300B3">
        <w:rPr>
          <w:rFonts w:eastAsia="Arial"/>
          <w:b/>
        </w:rPr>
        <w:t>BENDROJI DALIS</w:t>
      </w:r>
    </w:p>
    <w:p w14:paraId="02951275" w14:textId="77777777" w:rsidR="006927E9" w:rsidRPr="009300B3" w:rsidRDefault="006927E9" w:rsidP="006927E9">
      <w:pPr>
        <w:pStyle w:val="ListParagraph"/>
        <w:tabs>
          <w:tab w:val="left" w:pos="284"/>
        </w:tabs>
        <w:spacing w:line="280" w:lineRule="atLeast"/>
        <w:ind w:left="1080"/>
        <w:jc w:val="both"/>
        <w:rPr>
          <w:rFonts w:eastAsia="Arial"/>
          <w:b/>
        </w:rPr>
      </w:pPr>
    </w:p>
    <w:tbl>
      <w:tblPr>
        <w:tblStyle w:val="TableGrid"/>
        <w:tblW w:w="9493" w:type="dxa"/>
        <w:tblLook w:val="04A0" w:firstRow="1" w:lastRow="0" w:firstColumn="1" w:lastColumn="0" w:noHBand="0" w:noVBand="1"/>
      </w:tblPr>
      <w:tblGrid>
        <w:gridCol w:w="632"/>
        <w:gridCol w:w="3899"/>
        <w:gridCol w:w="4962"/>
      </w:tblGrid>
      <w:tr w:rsidR="006927E9" w:rsidRPr="009300B3" w14:paraId="47EF65BE" w14:textId="77777777" w:rsidTr="001C4C5A">
        <w:trPr>
          <w:trHeight w:val="538"/>
        </w:trPr>
        <w:tc>
          <w:tcPr>
            <w:tcW w:w="632" w:type="dxa"/>
          </w:tcPr>
          <w:p w14:paraId="2BF1C47C" w14:textId="77777777" w:rsidR="006927E9" w:rsidRPr="009300B3" w:rsidRDefault="006927E9" w:rsidP="001C4C5A">
            <w:pPr>
              <w:jc w:val="both"/>
              <w:rPr>
                <w:rFonts w:eastAsia="Arial"/>
                <w:b/>
                <w:bCs/>
              </w:rPr>
            </w:pPr>
            <w:bookmarkStart w:id="1" w:name="_Hlk187088187"/>
            <w:r w:rsidRPr="009300B3">
              <w:rPr>
                <w:rFonts w:eastAsia="Arial"/>
                <w:b/>
                <w:bCs/>
              </w:rPr>
              <w:t>1.1</w:t>
            </w:r>
          </w:p>
        </w:tc>
        <w:tc>
          <w:tcPr>
            <w:tcW w:w="3899" w:type="dxa"/>
          </w:tcPr>
          <w:p w14:paraId="750B8271" w14:textId="77777777" w:rsidR="006927E9" w:rsidRPr="009300B3" w:rsidRDefault="006927E9" w:rsidP="001C4C5A">
            <w:pPr>
              <w:jc w:val="both"/>
              <w:rPr>
                <w:rFonts w:eastAsia="Arial"/>
                <w:b/>
                <w:bCs/>
              </w:rPr>
            </w:pPr>
            <w:r w:rsidRPr="009300B3">
              <w:rPr>
                <w:rFonts w:eastAsia="Arial"/>
                <w:b/>
                <w:bCs/>
              </w:rPr>
              <w:t>Pareiškėjas/ pareiškėjo atstovas</w:t>
            </w:r>
          </w:p>
        </w:tc>
        <w:tc>
          <w:tcPr>
            <w:tcW w:w="4962" w:type="dxa"/>
          </w:tcPr>
          <w:p w14:paraId="55981F23" w14:textId="77777777" w:rsidR="006927E9" w:rsidRPr="009300B3" w:rsidRDefault="006927E9" w:rsidP="001C4C5A">
            <w:pPr>
              <w:jc w:val="both"/>
              <w:rPr>
                <w:rFonts w:eastAsia="Arial"/>
              </w:rPr>
            </w:pPr>
            <w:r w:rsidRPr="00924B52">
              <w:t>UAB „Roche Lietuva”</w:t>
            </w:r>
          </w:p>
        </w:tc>
      </w:tr>
      <w:tr w:rsidR="006927E9" w:rsidRPr="009300B3" w14:paraId="7C078ABD" w14:textId="77777777" w:rsidTr="001C4C5A">
        <w:trPr>
          <w:trHeight w:val="538"/>
        </w:trPr>
        <w:tc>
          <w:tcPr>
            <w:tcW w:w="632" w:type="dxa"/>
          </w:tcPr>
          <w:p w14:paraId="461F16AB" w14:textId="77777777" w:rsidR="006927E9" w:rsidRPr="009300B3" w:rsidRDefault="006927E9" w:rsidP="001C4C5A">
            <w:pPr>
              <w:jc w:val="both"/>
              <w:rPr>
                <w:rFonts w:eastAsia="Arial"/>
                <w:b/>
                <w:bCs/>
              </w:rPr>
            </w:pPr>
            <w:r w:rsidRPr="009300B3">
              <w:rPr>
                <w:rFonts w:eastAsia="Arial"/>
                <w:b/>
                <w:bCs/>
              </w:rPr>
              <w:t>1.2</w:t>
            </w:r>
          </w:p>
        </w:tc>
        <w:tc>
          <w:tcPr>
            <w:tcW w:w="3899" w:type="dxa"/>
          </w:tcPr>
          <w:p w14:paraId="31B5867F" w14:textId="77777777" w:rsidR="006927E9" w:rsidRPr="009300B3" w:rsidRDefault="006927E9" w:rsidP="001C4C5A">
            <w:pPr>
              <w:jc w:val="both"/>
              <w:rPr>
                <w:b/>
                <w:bCs/>
                <w:lang w:eastAsia="lt-LT"/>
              </w:rPr>
            </w:pPr>
            <w:r w:rsidRPr="009300B3">
              <w:rPr>
                <w:b/>
                <w:bCs/>
                <w:lang w:eastAsia="lt-LT"/>
              </w:rPr>
              <w:t xml:space="preserve">Vaistinio preparato registracijos data </w:t>
            </w:r>
          </w:p>
          <w:p w14:paraId="1BF590F4" w14:textId="77777777" w:rsidR="006927E9" w:rsidRPr="009300B3" w:rsidRDefault="006927E9" w:rsidP="001C4C5A">
            <w:pPr>
              <w:jc w:val="both"/>
              <w:rPr>
                <w:b/>
                <w:bCs/>
                <w:lang w:eastAsia="lt-LT"/>
              </w:rPr>
            </w:pPr>
          </w:p>
        </w:tc>
        <w:tc>
          <w:tcPr>
            <w:tcW w:w="4962" w:type="dxa"/>
          </w:tcPr>
          <w:p w14:paraId="36C699D0" w14:textId="77777777" w:rsidR="006927E9" w:rsidRPr="009300B3" w:rsidRDefault="000C32B5" w:rsidP="001C4C5A">
            <w:pPr>
              <w:jc w:val="both"/>
              <w:rPr>
                <w:rStyle w:val="Style2"/>
                <w:sz w:val="24"/>
              </w:rPr>
            </w:pPr>
            <w:sdt>
              <w:sdtPr>
                <w:rPr>
                  <w:sz w:val="32"/>
                </w:rPr>
                <w:alias w:val="Nurodykite konkrečią dieną"/>
                <w:tag w:val="Nurodykite pradžios datą"/>
                <w:id w:val="1772196685"/>
                <w:placeholder>
                  <w:docPart w:val="E86D2C4AE1264BF6957D8F78B9AA5E9B"/>
                </w:placeholder>
                <w15:color w:val="FFCC99"/>
                <w:date>
                  <w:dateFormat w:val="yyyy 'm.' MMMM d 'd.'"/>
                  <w:lid w:val="lt-LT"/>
                  <w:storeMappedDataAs w:val="dateTime"/>
                  <w:calendar w:val="gregorian"/>
                </w:date>
              </w:sdtPr>
              <w:sdtEndPr/>
              <w:sdtContent>
                <w:r w:rsidR="006927E9" w:rsidRPr="00E72ADC">
                  <w:t xml:space="preserve">22 </w:t>
                </w:r>
                <w:r w:rsidR="006927E9">
                  <w:t>l</w:t>
                </w:r>
                <w:r w:rsidR="006927E9" w:rsidRPr="00E72ADC">
                  <w:t>iepos 2014</w:t>
                </w:r>
              </w:sdtContent>
            </w:sdt>
          </w:p>
        </w:tc>
      </w:tr>
      <w:tr w:rsidR="006927E9" w:rsidRPr="009300B3" w14:paraId="2A81494E" w14:textId="77777777" w:rsidTr="001C4C5A">
        <w:trPr>
          <w:trHeight w:val="1396"/>
        </w:trPr>
        <w:tc>
          <w:tcPr>
            <w:tcW w:w="632" w:type="dxa"/>
          </w:tcPr>
          <w:p w14:paraId="48626E1E" w14:textId="77777777" w:rsidR="006927E9" w:rsidRPr="009300B3" w:rsidRDefault="006927E9" w:rsidP="001C4C5A">
            <w:pPr>
              <w:jc w:val="both"/>
              <w:rPr>
                <w:rFonts w:eastAsia="Arial"/>
                <w:b/>
                <w:bCs/>
              </w:rPr>
            </w:pPr>
            <w:r w:rsidRPr="009300B3">
              <w:rPr>
                <w:rFonts w:eastAsia="Arial"/>
                <w:b/>
                <w:bCs/>
              </w:rPr>
              <w:t>1.3</w:t>
            </w:r>
          </w:p>
        </w:tc>
        <w:tc>
          <w:tcPr>
            <w:tcW w:w="3899" w:type="dxa"/>
          </w:tcPr>
          <w:p w14:paraId="03275FAD" w14:textId="77777777" w:rsidR="006927E9" w:rsidRPr="009300B3" w:rsidRDefault="006927E9" w:rsidP="001C4C5A">
            <w:pPr>
              <w:pStyle w:val="NoSpacing"/>
              <w:jc w:val="both"/>
              <w:rPr>
                <w:rFonts w:ascii="Times New Roman" w:hAnsi="Times New Roman"/>
                <w:b/>
                <w:sz w:val="24"/>
                <w:szCs w:val="24"/>
                <w:shd w:val="clear" w:color="auto" w:fill="FFFFFF"/>
              </w:rPr>
            </w:pPr>
            <w:r w:rsidRPr="009300B3">
              <w:rPr>
                <w:rFonts w:ascii="Times New Roman" w:hAnsi="Times New Roman"/>
                <w:b/>
                <w:sz w:val="24"/>
                <w:szCs w:val="24"/>
              </w:rPr>
              <w:t xml:space="preserve">Vaistinio preparato </w:t>
            </w:r>
            <w:r w:rsidRPr="009300B3">
              <w:rPr>
                <w:rFonts w:ascii="Times New Roman" w:hAnsi="Times New Roman"/>
                <w:b/>
                <w:sz w:val="24"/>
                <w:szCs w:val="24"/>
                <w:shd w:val="clear" w:color="auto" w:fill="FFFFFF"/>
              </w:rPr>
              <w:t>registracijos teisinis pagrindas</w:t>
            </w:r>
          </w:p>
          <w:p w14:paraId="188E1D1B" w14:textId="77777777" w:rsidR="006927E9" w:rsidRPr="009300B3" w:rsidRDefault="006927E9" w:rsidP="001C4C5A">
            <w:pPr>
              <w:pStyle w:val="NoSpacing"/>
              <w:jc w:val="both"/>
              <w:rPr>
                <w:rFonts w:ascii="Times New Roman" w:hAnsi="Times New Roman"/>
                <w:b/>
                <w:bCs/>
                <w:sz w:val="24"/>
                <w:szCs w:val="24"/>
                <w:lang w:eastAsia="lt-LT"/>
              </w:rPr>
            </w:pPr>
            <w:r w:rsidRPr="009300B3">
              <w:rPr>
                <w:rFonts w:ascii="Times New Roman" w:hAnsi="Times New Roman"/>
                <w:b/>
                <w:sz w:val="24"/>
                <w:szCs w:val="24"/>
                <w:shd w:val="clear" w:color="auto" w:fill="FFFFFF"/>
              </w:rPr>
              <w:t>(</w:t>
            </w:r>
            <w:r w:rsidRPr="009300B3">
              <w:rPr>
                <w:rFonts w:ascii="Times New Roman" w:hAnsi="Times New Roman"/>
                <w:b/>
                <w:sz w:val="24"/>
                <w:szCs w:val="24"/>
              </w:rPr>
              <w:t>Direktyvos 2001/83/EB str.)</w:t>
            </w:r>
          </w:p>
        </w:tc>
        <w:tc>
          <w:tcPr>
            <w:tcW w:w="4962" w:type="dxa"/>
          </w:tcPr>
          <w:p w14:paraId="1EFF6390" w14:textId="77777777" w:rsidR="006927E9" w:rsidRPr="00DB5616" w:rsidRDefault="000C32B5" w:rsidP="001C4C5A">
            <w:pPr>
              <w:jc w:val="both"/>
            </w:pPr>
            <w:sdt>
              <w:sdtPr>
                <w:rPr>
                  <w:rStyle w:val="Style2"/>
                  <w:sz w:val="24"/>
                </w:rPr>
                <w:id w:val="526292078"/>
                <w15:color w:val="FFCC00"/>
                <w14:checkbox>
                  <w14:checked w14:val="1"/>
                  <w14:checkedState w14:val="2612" w14:font="MS Gothic"/>
                  <w14:uncheckedState w14:val="2610" w14:font="MS Gothic"/>
                </w14:checkbox>
              </w:sdtPr>
              <w:sdtEndPr>
                <w:rPr>
                  <w:rStyle w:val="Style2"/>
                </w:rPr>
              </w:sdtEndPr>
              <w:sdtContent>
                <w:r w:rsidR="006927E9">
                  <w:rPr>
                    <w:rStyle w:val="Style2"/>
                    <w:rFonts w:ascii="MS Gothic" w:eastAsia="MS Gothic" w:hAnsi="MS Gothic" w:hint="eastAsia"/>
                    <w:sz w:val="24"/>
                  </w:rPr>
                  <w:t>☒</w:t>
                </w:r>
              </w:sdtContent>
            </w:sdt>
            <w:r w:rsidR="006927E9" w:rsidRPr="00DB5616">
              <w:t>8.3 str. (pilna byla, pagrįsta savais tyrimais)</w:t>
            </w:r>
          </w:p>
          <w:p w14:paraId="469B521F" w14:textId="77777777" w:rsidR="006927E9" w:rsidRPr="00DB5616" w:rsidRDefault="000C32B5" w:rsidP="001C4C5A">
            <w:pPr>
              <w:jc w:val="both"/>
            </w:pPr>
            <w:sdt>
              <w:sdtPr>
                <w:rPr>
                  <w:rStyle w:val="Style2"/>
                  <w:sz w:val="24"/>
                </w:rPr>
                <w:id w:val="-1497953736"/>
                <w15:color w:val="FFCC00"/>
                <w14:checkbox>
                  <w14:checked w14:val="0"/>
                  <w14:checkedState w14:val="2612" w14:font="MS Gothic"/>
                  <w14:uncheckedState w14:val="2610" w14:font="MS Gothic"/>
                </w14:checkbox>
              </w:sdtPr>
              <w:sdtEndPr>
                <w:rPr>
                  <w:rStyle w:val="Style2"/>
                </w:rPr>
              </w:sdtEndPr>
              <w:sdtContent>
                <w:r w:rsidR="006927E9" w:rsidRPr="00DB5616">
                  <w:rPr>
                    <w:rStyle w:val="Style2"/>
                    <w:rFonts w:ascii="Segoe UI Symbol" w:eastAsia="MS Gothic" w:hAnsi="Segoe UI Symbol" w:cs="Segoe UI Symbol"/>
                    <w:sz w:val="24"/>
                  </w:rPr>
                  <w:t>☐</w:t>
                </w:r>
              </w:sdtContent>
            </w:sdt>
            <w:r w:rsidR="006927E9" w:rsidRPr="00DB5616">
              <w:t>10 a str. (pripažintas medicininis vartojimas)</w:t>
            </w:r>
          </w:p>
          <w:p w14:paraId="4FAA3BB0" w14:textId="77777777" w:rsidR="006927E9" w:rsidRPr="00DB5616" w:rsidRDefault="000C32B5" w:rsidP="001C4C5A">
            <w:pPr>
              <w:jc w:val="both"/>
            </w:pPr>
            <w:sdt>
              <w:sdtPr>
                <w:rPr>
                  <w:rStyle w:val="Style2"/>
                  <w:sz w:val="24"/>
                </w:rPr>
                <w:id w:val="204142496"/>
                <w15:color w:val="FFCC00"/>
                <w14:checkbox>
                  <w14:checked w14:val="0"/>
                  <w14:checkedState w14:val="2612" w14:font="MS Gothic"/>
                  <w14:uncheckedState w14:val="2610" w14:font="MS Gothic"/>
                </w14:checkbox>
              </w:sdtPr>
              <w:sdtEndPr>
                <w:rPr>
                  <w:rStyle w:val="Style2"/>
                </w:rPr>
              </w:sdtEndPr>
              <w:sdtContent>
                <w:r w:rsidR="006927E9" w:rsidRPr="00DB5616">
                  <w:rPr>
                    <w:rStyle w:val="Style2"/>
                    <w:rFonts w:ascii="Segoe UI Symbol" w:eastAsia="MS Gothic" w:hAnsi="Segoe UI Symbol" w:cs="Segoe UI Symbol"/>
                    <w:sz w:val="24"/>
                  </w:rPr>
                  <w:t>☐</w:t>
                </w:r>
              </w:sdtContent>
            </w:sdt>
            <w:r w:rsidR="006927E9" w:rsidRPr="00DB5616">
              <w:t>10.1 str. (generinis)</w:t>
            </w:r>
          </w:p>
          <w:p w14:paraId="50C0B344" w14:textId="77777777" w:rsidR="006927E9" w:rsidRPr="00DB5616" w:rsidRDefault="000C32B5" w:rsidP="001C4C5A">
            <w:pPr>
              <w:jc w:val="both"/>
            </w:pPr>
            <w:sdt>
              <w:sdtPr>
                <w:rPr>
                  <w:rStyle w:val="Style2"/>
                  <w:sz w:val="24"/>
                </w:rPr>
                <w:id w:val="820305101"/>
                <w15:color w:val="FFCC00"/>
                <w14:checkbox>
                  <w14:checked w14:val="0"/>
                  <w14:checkedState w14:val="2612" w14:font="MS Gothic"/>
                  <w14:uncheckedState w14:val="2610" w14:font="MS Gothic"/>
                </w14:checkbox>
              </w:sdtPr>
              <w:sdtEndPr>
                <w:rPr>
                  <w:rStyle w:val="Style2"/>
                </w:rPr>
              </w:sdtEndPr>
              <w:sdtContent>
                <w:r w:rsidR="006927E9" w:rsidRPr="00DB5616">
                  <w:rPr>
                    <w:rStyle w:val="Style2"/>
                    <w:rFonts w:ascii="Segoe UI Symbol" w:eastAsia="MS Gothic" w:hAnsi="Segoe UI Symbol" w:cs="Segoe UI Symbol"/>
                    <w:sz w:val="24"/>
                  </w:rPr>
                  <w:t>☐</w:t>
                </w:r>
              </w:sdtContent>
            </w:sdt>
            <w:r w:rsidR="006927E9" w:rsidRPr="00DB5616">
              <w:t>10.3 str. (hibridinis)</w:t>
            </w:r>
          </w:p>
          <w:p w14:paraId="0BAA19DD" w14:textId="77777777" w:rsidR="006927E9" w:rsidRDefault="000C32B5" w:rsidP="001C4C5A">
            <w:sdt>
              <w:sdtPr>
                <w:rPr>
                  <w:rStyle w:val="Style2"/>
                  <w:sz w:val="24"/>
                </w:rPr>
                <w:id w:val="-450176040"/>
                <w15:color w:val="FFCC00"/>
                <w14:checkbox>
                  <w14:checked w14:val="0"/>
                  <w14:checkedState w14:val="2612" w14:font="MS Gothic"/>
                  <w14:uncheckedState w14:val="2610" w14:font="MS Gothic"/>
                </w14:checkbox>
              </w:sdtPr>
              <w:sdtEndPr>
                <w:rPr>
                  <w:rStyle w:val="Style2"/>
                </w:rPr>
              </w:sdtEndPr>
              <w:sdtContent>
                <w:r w:rsidR="006927E9" w:rsidRPr="00DB5616">
                  <w:rPr>
                    <w:rStyle w:val="Style2"/>
                    <w:rFonts w:ascii="Segoe UI Symbol" w:eastAsia="MS Gothic" w:hAnsi="Segoe UI Symbol" w:cs="Segoe UI Symbol"/>
                    <w:sz w:val="24"/>
                  </w:rPr>
                  <w:t>☐</w:t>
                </w:r>
              </w:sdtContent>
            </w:sdt>
            <w:r w:rsidR="006927E9" w:rsidRPr="00DB5616">
              <w:t>10.</w:t>
            </w:r>
            <w:r w:rsidR="006927E9">
              <w:t>4</w:t>
            </w:r>
            <w:r w:rsidR="006927E9" w:rsidRPr="00DB5616">
              <w:t xml:space="preserve"> str. (</w:t>
            </w:r>
            <w:r w:rsidR="006927E9" w:rsidRPr="001A0CAA">
              <w:t>panašus biologinis</w:t>
            </w:r>
            <w:r w:rsidR="006927E9" w:rsidRPr="00DB5616">
              <w:t>)</w:t>
            </w:r>
          </w:p>
          <w:p w14:paraId="17AEE4D1" w14:textId="77777777" w:rsidR="006927E9" w:rsidRDefault="006927E9" w:rsidP="001C4C5A"/>
          <w:p w14:paraId="2B8CDBE0" w14:textId="77777777" w:rsidR="006927E9" w:rsidRDefault="006927E9" w:rsidP="001C4C5A">
            <w:r>
              <w:t>Lietuvoje:</w:t>
            </w:r>
          </w:p>
          <w:p w14:paraId="55DBF1D2" w14:textId="77777777" w:rsidR="006927E9" w:rsidRDefault="006927E9" w:rsidP="001C4C5A">
            <w:r>
              <w:t>V</w:t>
            </w:r>
            <w:r w:rsidRPr="003F7366">
              <w:t xml:space="preserve">aistinis preparatas </w:t>
            </w:r>
            <w:r>
              <w:t xml:space="preserve">Gazyvaro </w:t>
            </w:r>
            <w:r w:rsidRPr="003F7366">
              <w:t>registruotas pagal Farmacijos įstatymo 11 straipsnio 4 dalį (registracijos (pilna) byla, pagrįsta savais tyrimais)</w:t>
            </w:r>
          </w:p>
          <w:p w14:paraId="71D8F022" w14:textId="77777777" w:rsidR="006927E9" w:rsidRPr="009300B3" w:rsidRDefault="006927E9" w:rsidP="001C4C5A">
            <w:pPr>
              <w:rPr>
                <w:rStyle w:val="Style2"/>
                <w:sz w:val="24"/>
              </w:rPr>
            </w:pPr>
          </w:p>
        </w:tc>
      </w:tr>
      <w:tr w:rsidR="006927E9" w:rsidRPr="009300B3" w14:paraId="4E624290" w14:textId="77777777" w:rsidTr="001C4C5A">
        <w:trPr>
          <w:trHeight w:val="1011"/>
        </w:trPr>
        <w:tc>
          <w:tcPr>
            <w:tcW w:w="632" w:type="dxa"/>
          </w:tcPr>
          <w:p w14:paraId="3CE6000A" w14:textId="77777777" w:rsidR="006927E9" w:rsidRPr="009300B3" w:rsidRDefault="006927E9" w:rsidP="001C4C5A">
            <w:pPr>
              <w:jc w:val="both"/>
              <w:rPr>
                <w:rFonts w:eastAsia="Arial"/>
                <w:b/>
                <w:bCs/>
              </w:rPr>
            </w:pPr>
            <w:r w:rsidRPr="009300B3">
              <w:rPr>
                <w:rFonts w:eastAsia="Arial"/>
                <w:b/>
              </w:rPr>
              <w:t>1.4</w:t>
            </w:r>
          </w:p>
        </w:tc>
        <w:tc>
          <w:tcPr>
            <w:tcW w:w="3899" w:type="dxa"/>
          </w:tcPr>
          <w:p w14:paraId="5E9C5D24" w14:textId="77777777" w:rsidR="006927E9" w:rsidRPr="009300B3" w:rsidRDefault="006927E9" w:rsidP="001C4C5A">
            <w:pPr>
              <w:tabs>
                <w:tab w:val="left" w:pos="284"/>
              </w:tabs>
              <w:spacing w:line="280" w:lineRule="atLeast"/>
              <w:jc w:val="both"/>
              <w:rPr>
                <w:b/>
                <w:bCs/>
                <w:lang w:eastAsia="lt-LT"/>
              </w:rPr>
            </w:pPr>
            <w:r w:rsidRPr="009300B3">
              <w:rPr>
                <w:b/>
                <w:bCs/>
                <w:lang w:eastAsia="lt-LT"/>
              </w:rPr>
              <w:t>Ar vaistinis preparatas įrašytas į Bendrijos retųjų vaistinių preparatų registrą?</w:t>
            </w:r>
          </w:p>
        </w:tc>
        <w:tc>
          <w:tcPr>
            <w:tcW w:w="4962" w:type="dxa"/>
          </w:tcPr>
          <w:p w14:paraId="2FAE224B" w14:textId="77777777" w:rsidR="006927E9" w:rsidRPr="009300B3" w:rsidRDefault="000C32B5" w:rsidP="001C4C5A">
            <w:pPr>
              <w:jc w:val="both"/>
            </w:pPr>
            <w:sdt>
              <w:sdtPr>
                <w:rPr>
                  <w:rStyle w:val="Style2"/>
                  <w:sz w:val="24"/>
                </w:rPr>
                <w:id w:val="1190730465"/>
                <w15:color w:val="FFCC00"/>
                <w14:checkbox>
                  <w14:checked w14:val="1"/>
                  <w14:checkedState w14:val="2612" w14:font="MS Gothic"/>
                  <w14:uncheckedState w14:val="2610" w14:font="MS Gothic"/>
                </w14:checkbox>
              </w:sdtPr>
              <w:sdtEndPr>
                <w:rPr>
                  <w:rStyle w:val="Style2"/>
                </w:rPr>
              </w:sdtEndPr>
              <w:sdtContent>
                <w:r w:rsidR="006927E9">
                  <w:rPr>
                    <w:rStyle w:val="Style2"/>
                    <w:rFonts w:ascii="MS Gothic" w:eastAsia="MS Gothic" w:hAnsi="MS Gothic" w:hint="eastAsia"/>
                    <w:sz w:val="24"/>
                  </w:rPr>
                  <w:t>☒</w:t>
                </w:r>
              </w:sdtContent>
            </w:sdt>
            <w:r w:rsidR="006927E9" w:rsidRPr="009300B3">
              <w:t xml:space="preserve"> Taip       </w:t>
            </w:r>
            <w:r w:rsidR="006927E9" w:rsidRPr="009300B3">
              <w:rPr>
                <w:rStyle w:val="Style2"/>
                <w:sz w:val="24"/>
              </w:rPr>
              <w:t xml:space="preserve"> </w:t>
            </w:r>
            <w:sdt>
              <w:sdtPr>
                <w:rPr>
                  <w:rStyle w:val="Style2"/>
                  <w:sz w:val="24"/>
                </w:rPr>
                <w:id w:val="-1760283509"/>
                <w15:color w:val="FFCC00"/>
                <w14:checkbox>
                  <w14:checked w14:val="0"/>
                  <w14:checkedState w14:val="2612" w14:font="MS Gothic"/>
                  <w14:uncheckedState w14:val="2610" w14:font="MS Gothic"/>
                </w14:checkbox>
              </w:sdtPr>
              <w:sdtEndPr>
                <w:rPr>
                  <w:rStyle w:val="Style2"/>
                </w:rPr>
              </w:sdtEndPr>
              <w:sdtContent>
                <w:r w:rsidR="006927E9" w:rsidRPr="009300B3">
                  <w:rPr>
                    <w:rStyle w:val="Style2"/>
                    <w:rFonts w:ascii="MS Gothic" w:eastAsia="MS Gothic" w:hAnsi="MS Gothic" w:hint="eastAsia"/>
                    <w:sz w:val="24"/>
                  </w:rPr>
                  <w:t>☐</w:t>
                </w:r>
              </w:sdtContent>
            </w:sdt>
            <w:r w:rsidR="006927E9" w:rsidRPr="009300B3">
              <w:t xml:space="preserve"> Ne</w:t>
            </w:r>
          </w:p>
          <w:p w14:paraId="46666685" w14:textId="77777777" w:rsidR="006927E9" w:rsidRPr="009300B3" w:rsidRDefault="006927E9" w:rsidP="001C4C5A">
            <w:pPr>
              <w:jc w:val="both"/>
            </w:pPr>
            <w:r w:rsidRPr="009300B3">
              <w:t xml:space="preserve">Data: </w:t>
            </w:r>
            <w:sdt>
              <w:sdtPr>
                <w:alias w:val="Nurodykite konkrečią dieną"/>
                <w:tag w:val="Nurodykite pradžios datą"/>
                <w:id w:val="1784158105"/>
                <w:placeholder>
                  <w:docPart w:val="513A4359071D4252B4EF5DC2381D0B74"/>
                </w:placeholder>
                <w:showingPlcHdr/>
                <w15:color w:val="FFCC99"/>
                <w:date w:fullDate="2022-05-18T00:00:00Z">
                  <w:dateFormat w:val="yyyy 'm.' MMMM d 'd.'"/>
                  <w:lid w:val="lt-LT"/>
                  <w:storeMappedDataAs w:val="dateTime"/>
                  <w:calendar w:val="gregorian"/>
                </w:date>
              </w:sdtPr>
              <w:sdtEndPr/>
              <w:sdtContent>
                <w:r w:rsidRPr="009300B3">
                  <w:rPr>
                    <w:rStyle w:val="PlaceholderText"/>
                    <w:color w:val="auto"/>
                  </w:rPr>
                  <w:t>Click here to enter a date.</w:t>
                </w:r>
              </w:sdtContent>
            </w:sdt>
          </w:p>
          <w:p w14:paraId="6177DCE6" w14:textId="77777777" w:rsidR="006927E9" w:rsidRPr="009300B3" w:rsidRDefault="006927E9" w:rsidP="001C4C5A">
            <w:pPr>
              <w:jc w:val="both"/>
              <w:rPr>
                <w:rFonts w:eastAsia="Arial"/>
              </w:rPr>
            </w:pPr>
            <w:r w:rsidRPr="009300B3">
              <w:t>Nr.</w:t>
            </w:r>
          </w:p>
        </w:tc>
      </w:tr>
      <w:tr w:rsidR="006927E9" w:rsidRPr="009300B3" w14:paraId="335DE1C4" w14:textId="77777777" w:rsidTr="001C4C5A">
        <w:trPr>
          <w:trHeight w:val="1011"/>
        </w:trPr>
        <w:tc>
          <w:tcPr>
            <w:tcW w:w="632" w:type="dxa"/>
          </w:tcPr>
          <w:p w14:paraId="2AA07471" w14:textId="77777777" w:rsidR="006927E9" w:rsidRPr="009300B3" w:rsidRDefault="006927E9" w:rsidP="001C4C5A">
            <w:pPr>
              <w:jc w:val="both"/>
              <w:rPr>
                <w:rFonts w:eastAsia="Arial"/>
                <w:b/>
              </w:rPr>
            </w:pPr>
            <w:r w:rsidRPr="009300B3">
              <w:rPr>
                <w:rFonts w:eastAsia="Arial"/>
                <w:b/>
                <w:bCs/>
              </w:rPr>
              <w:t>1.5</w:t>
            </w:r>
          </w:p>
        </w:tc>
        <w:tc>
          <w:tcPr>
            <w:tcW w:w="3899" w:type="dxa"/>
          </w:tcPr>
          <w:p w14:paraId="689FDCA1" w14:textId="77777777" w:rsidR="006927E9" w:rsidRPr="009300B3" w:rsidRDefault="006927E9" w:rsidP="001C4C5A">
            <w:pPr>
              <w:tabs>
                <w:tab w:val="left" w:pos="284"/>
              </w:tabs>
              <w:spacing w:line="280" w:lineRule="atLeast"/>
              <w:jc w:val="both"/>
              <w:rPr>
                <w:b/>
                <w:bCs/>
                <w:lang w:eastAsia="lt-LT"/>
              </w:rPr>
            </w:pPr>
            <w:r w:rsidRPr="009300B3">
              <w:rPr>
                <w:b/>
                <w:bCs/>
                <w:lang w:eastAsia="lt-LT"/>
              </w:rPr>
              <w:t>Ar atliktas bendras klinikinis vertinimas</w:t>
            </w:r>
          </w:p>
          <w:p w14:paraId="57DFF490" w14:textId="77777777" w:rsidR="006927E9" w:rsidRPr="009300B3" w:rsidRDefault="006927E9" w:rsidP="001C4C5A">
            <w:pPr>
              <w:tabs>
                <w:tab w:val="left" w:pos="284"/>
              </w:tabs>
              <w:spacing w:line="280" w:lineRule="atLeast"/>
              <w:jc w:val="both"/>
              <w:rPr>
                <w:b/>
                <w:bCs/>
                <w:lang w:eastAsia="lt-LT"/>
              </w:rPr>
            </w:pPr>
            <w:r w:rsidRPr="009300B3">
              <w:rPr>
                <w:b/>
                <w:bCs/>
                <w:lang w:eastAsia="lt-LT"/>
              </w:rPr>
              <w:t>(Europos Parlamento ir Tarybos reglamentas (ES) 2021/2282)</w:t>
            </w:r>
          </w:p>
        </w:tc>
        <w:tc>
          <w:tcPr>
            <w:tcW w:w="4962" w:type="dxa"/>
          </w:tcPr>
          <w:p w14:paraId="45B61D9E" w14:textId="77777777" w:rsidR="006927E9" w:rsidRPr="009300B3" w:rsidRDefault="000C32B5" w:rsidP="001C4C5A">
            <w:pPr>
              <w:jc w:val="both"/>
            </w:pPr>
            <w:sdt>
              <w:sdtPr>
                <w:rPr>
                  <w:rStyle w:val="Style2"/>
                  <w:sz w:val="24"/>
                </w:rPr>
                <w:id w:val="-1171564470"/>
                <w15:color w:val="FFCC00"/>
                <w14:checkbox>
                  <w14:checked w14:val="0"/>
                  <w14:checkedState w14:val="2612" w14:font="MS Gothic"/>
                  <w14:uncheckedState w14:val="2610" w14:font="MS Gothic"/>
                </w14:checkbox>
              </w:sdtPr>
              <w:sdtEndPr>
                <w:rPr>
                  <w:rStyle w:val="Style2"/>
                </w:rPr>
              </w:sdtEndPr>
              <w:sdtContent>
                <w:r w:rsidR="006927E9" w:rsidRPr="009300B3">
                  <w:rPr>
                    <w:rStyle w:val="Style2"/>
                    <w:rFonts w:ascii="Segoe UI Symbol" w:eastAsia="MS Gothic" w:hAnsi="Segoe UI Symbol" w:cs="Segoe UI Symbol"/>
                    <w:sz w:val="24"/>
                  </w:rPr>
                  <w:t>☐</w:t>
                </w:r>
              </w:sdtContent>
            </w:sdt>
            <w:r w:rsidR="006927E9" w:rsidRPr="009300B3">
              <w:t xml:space="preserve"> Taip       </w:t>
            </w:r>
            <w:r w:rsidR="006927E9" w:rsidRPr="009300B3">
              <w:rPr>
                <w:rStyle w:val="Style2"/>
                <w:sz w:val="24"/>
              </w:rPr>
              <w:t xml:space="preserve"> </w:t>
            </w:r>
            <w:sdt>
              <w:sdtPr>
                <w:rPr>
                  <w:rStyle w:val="Style2"/>
                  <w:sz w:val="24"/>
                </w:rPr>
                <w:id w:val="1448122567"/>
                <w15:color w:val="FFCC00"/>
                <w14:checkbox>
                  <w14:checked w14:val="0"/>
                  <w14:checkedState w14:val="2612" w14:font="MS Gothic"/>
                  <w14:uncheckedState w14:val="2610" w14:font="MS Gothic"/>
                </w14:checkbox>
              </w:sdtPr>
              <w:sdtEndPr>
                <w:rPr>
                  <w:rStyle w:val="Style2"/>
                </w:rPr>
              </w:sdtEndPr>
              <w:sdtContent>
                <w:r w:rsidR="006927E9" w:rsidRPr="009300B3">
                  <w:rPr>
                    <w:rStyle w:val="Style2"/>
                    <w:rFonts w:ascii="MS Gothic" w:eastAsia="MS Gothic" w:hAnsi="MS Gothic" w:hint="eastAsia"/>
                    <w:sz w:val="24"/>
                  </w:rPr>
                  <w:t>☐</w:t>
                </w:r>
              </w:sdtContent>
            </w:sdt>
            <w:r w:rsidR="006927E9" w:rsidRPr="009300B3">
              <w:t xml:space="preserve"> Ne</w:t>
            </w:r>
          </w:p>
          <w:p w14:paraId="769B000D" w14:textId="77777777" w:rsidR="006927E9" w:rsidRPr="009300B3" w:rsidRDefault="006927E9" w:rsidP="001C4C5A">
            <w:pPr>
              <w:jc w:val="both"/>
              <w:rPr>
                <w:rStyle w:val="Style2"/>
                <w:sz w:val="24"/>
              </w:rPr>
            </w:pPr>
            <w:r w:rsidRPr="009300B3">
              <w:t xml:space="preserve">Data: </w:t>
            </w:r>
            <w:sdt>
              <w:sdtPr>
                <w:alias w:val="Nurodykite konkrečią dieną"/>
                <w:tag w:val="Nurodykite pradžios datą"/>
                <w:id w:val="1516880001"/>
                <w:placeholder>
                  <w:docPart w:val="1F2C1083C408453EB47FAD23A144EFC9"/>
                </w:placeholder>
                <w:showingPlcHdr/>
                <w15:color w:val="FFCC99"/>
                <w:date w:fullDate="2022-05-18T00:00:00Z">
                  <w:dateFormat w:val="yyyy 'm.' MMMM d 'd.'"/>
                  <w:lid w:val="lt-LT"/>
                  <w:storeMappedDataAs w:val="dateTime"/>
                  <w:calendar w:val="gregorian"/>
                </w:date>
              </w:sdtPr>
              <w:sdtEndPr/>
              <w:sdtContent>
                <w:r w:rsidRPr="009300B3">
                  <w:rPr>
                    <w:rStyle w:val="PlaceholderText"/>
                    <w:color w:val="auto"/>
                  </w:rPr>
                  <w:t>Click here to enter a date.</w:t>
                </w:r>
              </w:sdtContent>
            </w:sdt>
            <w:r w:rsidRPr="009300B3">
              <w:t xml:space="preserve"> </w:t>
            </w:r>
          </w:p>
        </w:tc>
      </w:tr>
      <w:tr w:rsidR="006927E9" w:rsidRPr="009300B3" w14:paraId="65A14049" w14:textId="77777777" w:rsidTr="001C4C5A">
        <w:trPr>
          <w:trHeight w:val="1278"/>
        </w:trPr>
        <w:tc>
          <w:tcPr>
            <w:tcW w:w="632" w:type="dxa"/>
          </w:tcPr>
          <w:p w14:paraId="33AAFD89" w14:textId="77777777" w:rsidR="006927E9" w:rsidRPr="009300B3" w:rsidRDefault="006927E9" w:rsidP="001C4C5A">
            <w:pPr>
              <w:jc w:val="both"/>
              <w:rPr>
                <w:rFonts w:eastAsia="Arial"/>
                <w:b/>
                <w:bCs/>
              </w:rPr>
            </w:pPr>
            <w:r w:rsidRPr="009300B3">
              <w:rPr>
                <w:rFonts w:eastAsia="Arial"/>
                <w:b/>
                <w:bCs/>
              </w:rPr>
              <w:lastRenderedPageBreak/>
              <w:t>1.6</w:t>
            </w:r>
          </w:p>
        </w:tc>
        <w:tc>
          <w:tcPr>
            <w:tcW w:w="3899" w:type="dxa"/>
          </w:tcPr>
          <w:p w14:paraId="41CD48BC" w14:textId="77777777" w:rsidR="006927E9" w:rsidRPr="009300B3" w:rsidRDefault="006927E9" w:rsidP="001C4C5A">
            <w:pPr>
              <w:jc w:val="both"/>
              <w:rPr>
                <w:b/>
                <w:bCs/>
                <w:lang w:eastAsia="lt-LT"/>
              </w:rPr>
            </w:pPr>
            <w:r w:rsidRPr="009300B3">
              <w:rPr>
                <w:b/>
                <w:bCs/>
                <w:lang w:eastAsia="lt-LT"/>
              </w:rPr>
              <w:t xml:space="preserve">Teikiama kompensuoti terapinė indikacija </w:t>
            </w:r>
          </w:p>
          <w:p w14:paraId="7B6C3793" w14:textId="77777777" w:rsidR="006927E9" w:rsidRPr="009300B3" w:rsidRDefault="006927E9" w:rsidP="001C4C5A">
            <w:pPr>
              <w:jc w:val="both"/>
              <w:rPr>
                <w:b/>
                <w:bCs/>
                <w:lang w:eastAsia="lt-LT"/>
              </w:rPr>
            </w:pPr>
          </w:p>
          <w:p w14:paraId="019CF619" w14:textId="77777777" w:rsidR="006927E9" w:rsidRPr="009300B3" w:rsidRDefault="006927E9" w:rsidP="001C4C5A">
            <w:pPr>
              <w:jc w:val="both"/>
              <w:rPr>
                <w:b/>
                <w:bCs/>
                <w:lang w:eastAsia="lt-LT"/>
              </w:rPr>
            </w:pPr>
            <w:r w:rsidRPr="009300B3">
              <w:rPr>
                <w:b/>
                <w:bCs/>
                <w:lang w:eastAsia="lt-LT"/>
              </w:rPr>
              <w:t>Kodas pagal TLK-10 AM</w:t>
            </w:r>
          </w:p>
        </w:tc>
        <w:tc>
          <w:tcPr>
            <w:tcW w:w="4962" w:type="dxa"/>
          </w:tcPr>
          <w:p w14:paraId="7D99BB93" w14:textId="77777777" w:rsidR="006927E9" w:rsidRPr="002D65CA" w:rsidRDefault="006927E9" w:rsidP="001C4C5A">
            <w:pPr>
              <w:jc w:val="both"/>
            </w:pPr>
            <w:r w:rsidRPr="002D65CA">
              <w:t xml:space="preserve">Gazyvaro derinant su mikofenolato mofetiliu (MMF) skirtas gydyti suaugusiems pacientams, sergantiems aktyviu III ar IV klasės, kartu su V klasės arba be jos, vilkligės sukeltu nefritu (VN). </w:t>
            </w:r>
          </w:p>
          <w:p w14:paraId="0DBDF3D6" w14:textId="77777777" w:rsidR="006927E9" w:rsidRDefault="006927E9" w:rsidP="001C4C5A">
            <w:pPr>
              <w:jc w:val="both"/>
            </w:pPr>
          </w:p>
          <w:p w14:paraId="4B401A4E" w14:textId="33D548D0" w:rsidR="006927E9" w:rsidRPr="00A85BC8" w:rsidRDefault="006927E9" w:rsidP="001C4C5A">
            <w:pPr>
              <w:jc w:val="both"/>
              <w:rPr>
                <w:lang w:val="en-US"/>
              </w:rPr>
            </w:pPr>
            <w:r w:rsidRPr="002D65CA">
              <w:t>TLK-10 AM</w:t>
            </w:r>
            <w:r w:rsidR="00BA36CC">
              <w:t xml:space="preserve">: </w:t>
            </w:r>
            <w:r w:rsidRPr="002D65CA">
              <w:t>M32.1</w:t>
            </w:r>
          </w:p>
          <w:p w14:paraId="753DF9B3" w14:textId="77777777" w:rsidR="006927E9" w:rsidRPr="009300B3" w:rsidRDefault="006927E9" w:rsidP="001C4C5A">
            <w:pPr>
              <w:jc w:val="both"/>
            </w:pPr>
          </w:p>
        </w:tc>
      </w:tr>
      <w:tr w:rsidR="006927E9" w:rsidRPr="009300B3" w14:paraId="7FB8B89D" w14:textId="77777777" w:rsidTr="001C4C5A">
        <w:trPr>
          <w:trHeight w:val="378"/>
        </w:trPr>
        <w:tc>
          <w:tcPr>
            <w:tcW w:w="632" w:type="dxa"/>
          </w:tcPr>
          <w:p w14:paraId="762C1EE3" w14:textId="77777777" w:rsidR="006927E9" w:rsidRPr="009300B3" w:rsidRDefault="006927E9" w:rsidP="001C4C5A">
            <w:pPr>
              <w:jc w:val="both"/>
              <w:rPr>
                <w:rFonts w:eastAsia="Arial"/>
                <w:b/>
                <w:bCs/>
              </w:rPr>
            </w:pPr>
            <w:r w:rsidRPr="009300B3">
              <w:rPr>
                <w:rFonts w:eastAsia="Arial"/>
                <w:b/>
                <w:bCs/>
              </w:rPr>
              <w:t>1.7</w:t>
            </w:r>
          </w:p>
        </w:tc>
        <w:tc>
          <w:tcPr>
            <w:tcW w:w="3899" w:type="dxa"/>
          </w:tcPr>
          <w:p w14:paraId="15A9D9A9" w14:textId="77777777" w:rsidR="006927E9" w:rsidRPr="009300B3" w:rsidRDefault="006927E9" w:rsidP="001C4C5A">
            <w:pPr>
              <w:jc w:val="both"/>
              <w:rPr>
                <w:b/>
                <w:bCs/>
                <w:u w:val="single"/>
                <w:lang w:eastAsia="lt-LT"/>
              </w:rPr>
            </w:pPr>
            <w:r w:rsidRPr="009300B3">
              <w:rPr>
                <w:b/>
                <w:bCs/>
                <w:lang w:eastAsia="lt-LT"/>
              </w:rPr>
              <w:t xml:space="preserve">Teikiamos skyrimo sąlygos </w:t>
            </w:r>
          </w:p>
        </w:tc>
        <w:tc>
          <w:tcPr>
            <w:tcW w:w="4962" w:type="dxa"/>
          </w:tcPr>
          <w:p w14:paraId="300FF127" w14:textId="77777777" w:rsidR="006927E9" w:rsidRPr="009300B3" w:rsidRDefault="006927E9" w:rsidP="001C4C5A">
            <w:pPr>
              <w:jc w:val="both"/>
            </w:pPr>
          </w:p>
          <w:p w14:paraId="6EA326F4" w14:textId="77777777" w:rsidR="006927E9" w:rsidRPr="009300B3" w:rsidRDefault="006927E9" w:rsidP="001C4C5A">
            <w:pPr>
              <w:jc w:val="both"/>
            </w:pPr>
            <w:r w:rsidRPr="009300B3">
              <w:t>Neteikiam</w:t>
            </w:r>
            <w:r>
              <w:t>os</w:t>
            </w:r>
          </w:p>
          <w:p w14:paraId="041A4AEA" w14:textId="77777777" w:rsidR="006927E9" w:rsidRPr="009300B3" w:rsidRDefault="006927E9" w:rsidP="001C4C5A">
            <w:pPr>
              <w:jc w:val="both"/>
            </w:pPr>
          </w:p>
        </w:tc>
      </w:tr>
      <w:tr w:rsidR="006927E9" w:rsidRPr="009300B3" w14:paraId="64E86856" w14:textId="77777777" w:rsidTr="001C4C5A">
        <w:trPr>
          <w:trHeight w:val="378"/>
        </w:trPr>
        <w:tc>
          <w:tcPr>
            <w:tcW w:w="632" w:type="dxa"/>
          </w:tcPr>
          <w:p w14:paraId="6C8F556B" w14:textId="77777777" w:rsidR="006927E9" w:rsidRPr="009300B3" w:rsidRDefault="006927E9" w:rsidP="001C4C5A">
            <w:pPr>
              <w:jc w:val="both"/>
              <w:rPr>
                <w:rFonts w:eastAsia="Arial"/>
                <w:b/>
                <w:bCs/>
              </w:rPr>
            </w:pPr>
            <w:r w:rsidRPr="009300B3">
              <w:rPr>
                <w:rFonts w:eastAsia="Arial"/>
                <w:b/>
                <w:bCs/>
              </w:rPr>
              <w:t>1.8</w:t>
            </w:r>
          </w:p>
        </w:tc>
        <w:tc>
          <w:tcPr>
            <w:tcW w:w="3899" w:type="dxa"/>
          </w:tcPr>
          <w:p w14:paraId="51CCE9C6" w14:textId="77777777" w:rsidR="006927E9" w:rsidRPr="009300B3" w:rsidRDefault="006927E9" w:rsidP="001C4C5A">
            <w:pPr>
              <w:jc w:val="both"/>
              <w:rPr>
                <w:b/>
                <w:bCs/>
                <w:lang w:eastAsia="lt-LT"/>
              </w:rPr>
            </w:pPr>
            <w:r w:rsidRPr="009300B3">
              <w:rPr>
                <w:b/>
                <w:bCs/>
                <w:lang w:eastAsia="lt-LT"/>
              </w:rPr>
              <w:t>Ekonominė analizė</w:t>
            </w:r>
          </w:p>
        </w:tc>
        <w:tc>
          <w:tcPr>
            <w:tcW w:w="4962" w:type="dxa"/>
          </w:tcPr>
          <w:p w14:paraId="3D312D2B" w14:textId="77777777" w:rsidR="006927E9" w:rsidRPr="009300B3" w:rsidRDefault="000C32B5" w:rsidP="001C4C5A">
            <w:pPr>
              <w:jc w:val="both"/>
            </w:pPr>
            <w:sdt>
              <w:sdtPr>
                <w:rPr>
                  <w:rStyle w:val="Style2"/>
                  <w:sz w:val="24"/>
                </w:rPr>
                <w:id w:val="356323367"/>
                <w15:color w:val="FFCC00"/>
                <w14:checkbox>
                  <w14:checked w14:val="0"/>
                  <w14:checkedState w14:val="2612" w14:font="MS Gothic"/>
                  <w14:uncheckedState w14:val="2610" w14:font="MS Gothic"/>
                </w14:checkbox>
              </w:sdtPr>
              <w:sdtEndPr>
                <w:rPr>
                  <w:rStyle w:val="Style2"/>
                </w:rPr>
              </w:sdtEndPr>
              <w:sdtContent>
                <w:r w:rsidR="006927E9" w:rsidRPr="009300B3">
                  <w:rPr>
                    <w:rStyle w:val="Style2"/>
                    <w:rFonts w:ascii="Segoe UI Symbol" w:eastAsia="MS Gothic" w:hAnsi="Segoe UI Symbol" w:cs="Segoe UI Symbol"/>
                    <w:sz w:val="24"/>
                  </w:rPr>
                  <w:t>☐</w:t>
                </w:r>
              </w:sdtContent>
            </w:sdt>
            <w:r w:rsidR="006927E9" w:rsidRPr="009300B3">
              <w:t xml:space="preserve"> Kaštų naudingumo analizė</w:t>
            </w:r>
          </w:p>
          <w:p w14:paraId="229E951A" w14:textId="77777777" w:rsidR="006927E9" w:rsidRDefault="000C32B5" w:rsidP="001C4C5A">
            <w:pPr>
              <w:jc w:val="both"/>
            </w:pPr>
            <w:sdt>
              <w:sdtPr>
                <w:rPr>
                  <w:rStyle w:val="Style2"/>
                  <w:sz w:val="24"/>
                </w:rPr>
                <w:id w:val="-250506580"/>
                <w15:color w:val="FFCC00"/>
                <w14:checkbox>
                  <w14:checked w14:val="1"/>
                  <w14:checkedState w14:val="2612" w14:font="MS Gothic"/>
                  <w14:uncheckedState w14:val="2610" w14:font="MS Gothic"/>
                </w14:checkbox>
              </w:sdtPr>
              <w:sdtEndPr>
                <w:rPr>
                  <w:rStyle w:val="Style2"/>
                </w:rPr>
              </w:sdtEndPr>
              <w:sdtContent>
                <w:r w:rsidR="006927E9">
                  <w:rPr>
                    <w:rStyle w:val="Style2"/>
                    <w:rFonts w:ascii="MS Gothic" w:eastAsia="MS Gothic" w:hAnsi="MS Gothic" w:hint="eastAsia"/>
                    <w:sz w:val="24"/>
                  </w:rPr>
                  <w:t>☒</w:t>
                </w:r>
              </w:sdtContent>
            </w:sdt>
            <w:r w:rsidR="006927E9" w:rsidRPr="009300B3">
              <w:t xml:space="preserve"> Kaštų mažinimo analizė</w:t>
            </w:r>
          </w:p>
          <w:p w14:paraId="38CACF0D" w14:textId="77777777" w:rsidR="006927E9" w:rsidRPr="009300B3" w:rsidRDefault="000C32B5" w:rsidP="001C4C5A">
            <w:pPr>
              <w:jc w:val="both"/>
            </w:pPr>
            <w:sdt>
              <w:sdtPr>
                <w:rPr>
                  <w:rStyle w:val="Style2"/>
                  <w:sz w:val="24"/>
                </w:rPr>
                <w:id w:val="-1517455044"/>
                <w15:color w:val="FFCC00"/>
                <w14:checkbox>
                  <w14:checked w14:val="0"/>
                  <w14:checkedState w14:val="2612" w14:font="MS Gothic"/>
                  <w14:uncheckedState w14:val="2610" w14:font="MS Gothic"/>
                </w14:checkbox>
              </w:sdtPr>
              <w:sdtEndPr>
                <w:rPr>
                  <w:rStyle w:val="Style2"/>
                </w:rPr>
              </w:sdtEndPr>
              <w:sdtContent>
                <w:r w:rsidR="006927E9" w:rsidRPr="009300B3">
                  <w:rPr>
                    <w:rStyle w:val="Style2"/>
                    <w:rFonts w:ascii="Segoe UI Symbol" w:eastAsia="MS Gothic" w:hAnsi="Segoe UI Symbol" w:cs="Segoe UI Symbol"/>
                    <w:sz w:val="24"/>
                  </w:rPr>
                  <w:t>☐</w:t>
                </w:r>
              </w:sdtContent>
            </w:sdt>
            <w:r w:rsidR="006927E9">
              <w:t xml:space="preserve"> Neteikiama</w:t>
            </w:r>
          </w:p>
          <w:p w14:paraId="5775FFEF" w14:textId="77777777" w:rsidR="006927E9" w:rsidRPr="009300B3" w:rsidRDefault="006927E9" w:rsidP="001C4C5A">
            <w:pPr>
              <w:jc w:val="both"/>
            </w:pPr>
          </w:p>
        </w:tc>
      </w:tr>
      <w:bookmarkEnd w:id="1"/>
    </w:tbl>
    <w:p w14:paraId="42F79664" w14:textId="77777777" w:rsidR="006927E9" w:rsidRDefault="006927E9" w:rsidP="006927E9">
      <w:pPr>
        <w:tabs>
          <w:tab w:val="left" w:pos="426"/>
        </w:tabs>
        <w:jc w:val="both"/>
        <w:rPr>
          <w:rFonts w:eastAsia="Arial"/>
          <w:b/>
          <w:bCs/>
        </w:rPr>
      </w:pPr>
    </w:p>
    <w:p w14:paraId="2EB7FD31" w14:textId="5615B363" w:rsidR="007A2B68" w:rsidRPr="000203E1" w:rsidRDefault="00DC261A" w:rsidP="00063A50">
      <w:pPr>
        <w:pStyle w:val="ListParagraph"/>
        <w:tabs>
          <w:tab w:val="left" w:pos="426"/>
        </w:tabs>
        <w:ind w:left="0"/>
        <w:jc w:val="center"/>
        <w:rPr>
          <w:b/>
          <w:bCs/>
          <w:caps/>
        </w:rPr>
      </w:pPr>
      <w:r w:rsidRPr="00DC261A">
        <w:rPr>
          <w:b/>
          <w:bCs/>
          <w:caps/>
        </w:rPr>
        <w:t>___________________</w:t>
      </w:r>
    </w:p>
    <w:p w14:paraId="73290081" w14:textId="77777777" w:rsidR="007A2B68" w:rsidRPr="000203E1" w:rsidRDefault="007A2B68">
      <w:pPr>
        <w:rPr>
          <w:b/>
          <w:bCs/>
          <w:caps/>
        </w:rPr>
      </w:pPr>
      <w:r w:rsidRPr="000203E1">
        <w:rPr>
          <w:b/>
          <w:bCs/>
          <w:caps/>
        </w:rPr>
        <w:br w:type="page"/>
      </w:r>
    </w:p>
    <w:p w14:paraId="5055E8A8" w14:textId="1F85CBB9" w:rsidR="002E6F80" w:rsidRPr="000203E1" w:rsidRDefault="001E0B2D" w:rsidP="00CC09D4">
      <w:pPr>
        <w:pStyle w:val="ListParagraph"/>
        <w:numPr>
          <w:ilvl w:val="0"/>
          <w:numId w:val="12"/>
        </w:numPr>
        <w:tabs>
          <w:tab w:val="left" w:pos="567"/>
        </w:tabs>
        <w:ind w:hanging="720"/>
        <w:rPr>
          <w:b/>
          <w:bCs/>
          <w:caps/>
        </w:rPr>
      </w:pPr>
      <w:r>
        <w:rPr>
          <w:b/>
          <w:bCs/>
          <w:caps/>
        </w:rPr>
        <w:lastRenderedPageBreak/>
        <w:t>BENDRO</w:t>
      </w:r>
      <w:r w:rsidR="00753EC2">
        <w:rPr>
          <w:b/>
          <w:bCs/>
          <w:caps/>
        </w:rPr>
        <w:t xml:space="preserve"> </w:t>
      </w:r>
      <w:r w:rsidR="00CC7832" w:rsidRPr="000203E1">
        <w:rPr>
          <w:b/>
          <w:bCs/>
          <w:caps/>
        </w:rPr>
        <w:t>Klinikinio vertinimo a</w:t>
      </w:r>
      <w:r w:rsidR="00D4485B" w:rsidRPr="000203E1">
        <w:rPr>
          <w:b/>
          <w:bCs/>
          <w:caps/>
        </w:rPr>
        <w:t>pibendrinimas</w:t>
      </w:r>
    </w:p>
    <w:p w14:paraId="72C78556" w14:textId="77777777" w:rsidR="0012653C" w:rsidRDefault="0012653C" w:rsidP="00D12869">
      <w:pPr>
        <w:tabs>
          <w:tab w:val="left" w:pos="284"/>
        </w:tabs>
        <w:rPr>
          <w:i/>
          <w:color w:val="00B050"/>
        </w:rPr>
      </w:pPr>
    </w:p>
    <w:p w14:paraId="3A783B7B" w14:textId="77777777" w:rsidR="009650D4" w:rsidRDefault="009650D4" w:rsidP="009650D4">
      <w:pPr>
        <w:pStyle w:val="0TEXT"/>
        <w:spacing w:before="30" w:line="276" w:lineRule="auto"/>
        <w:rPr>
          <w:lang w:val="lt-LT"/>
        </w:rPr>
      </w:pPr>
      <w:r w:rsidRPr="00737CA1">
        <w:rPr>
          <w:lang w:val="lt-LT"/>
        </w:rPr>
        <w:t xml:space="preserve">Sisteminė raudonoji vilkligė (SRV) yra lėtinė autoimuninė liga, kuria dažniausiai serga 20–40 metų moterys. Vilkliginis nefritas (VN) </w:t>
      </w:r>
      <w:r w:rsidRPr="00F322D4">
        <w:rPr>
          <w:lang w:val="lt-LT"/>
        </w:rPr>
        <w:t xml:space="preserve">yra </w:t>
      </w:r>
      <w:r>
        <w:rPr>
          <w:lang w:val="lt-LT"/>
        </w:rPr>
        <w:t xml:space="preserve">viena iš </w:t>
      </w:r>
      <w:r w:rsidRPr="00F322D4">
        <w:rPr>
          <w:lang w:val="lt-LT"/>
        </w:rPr>
        <w:t>dažniausi</w:t>
      </w:r>
      <w:r>
        <w:rPr>
          <w:lang w:val="lt-LT"/>
        </w:rPr>
        <w:t>ų</w:t>
      </w:r>
      <w:r w:rsidRPr="00F322D4">
        <w:rPr>
          <w:lang w:val="lt-LT"/>
        </w:rPr>
        <w:t xml:space="preserve"> pasireiškian</w:t>
      </w:r>
      <w:r>
        <w:rPr>
          <w:lang w:val="lt-LT"/>
        </w:rPr>
        <w:t>čių</w:t>
      </w:r>
      <w:r w:rsidRPr="00F322D4">
        <w:rPr>
          <w:lang w:val="lt-LT"/>
        </w:rPr>
        <w:t xml:space="preserve"> SRV form</w:t>
      </w:r>
      <w:r>
        <w:rPr>
          <w:lang w:val="lt-LT"/>
        </w:rPr>
        <w:t>ų</w:t>
      </w:r>
      <w:r w:rsidRPr="00737CA1">
        <w:rPr>
          <w:lang w:val="lt-LT"/>
        </w:rPr>
        <w:t xml:space="preserve">, kuri yra sekinanti ir potencialiai pavojinga gyvybei būklė. </w:t>
      </w:r>
      <w:r w:rsidRPr="007D5675">
        <w:rPr>
          <w:lang w:val="lt-LT"/>
        </w:rPr>
        <w:t>SRV savo ruožtu yra autoimuninė liga, kuri gali paveikti įvairius organus ar kūno regionus. Taigi pacientams, sergantiems VN, pažeidžiami inkstai.</w:t>
      </w:r>
      <w:r w:rsidRPr="0074650E">
        <w:rPr>
          <w:lang w:val="lt-LT"/>
        </w:rPr>
        <w:t xml:space="preserve"> </w:t>
      </w:r>
      <w:r w:rsidRPr="007D5675">
        <w:rPr>
          <w:lang w:val="lt-LT"/>
        </w:rPr>
        <w:t xml:space="preserve">Progresuojantis, nekontroliuojamas inkstų pažeidimas sukelia klinikinę VN naštą pacientų sveikatai ir gyvenimo kokybei. VN skirstomas į skirtingas klases (I-VI), remiantis inkstų biopsijos įvertinimu. Pacientams, sergantiems VN, inkstų pažeidimas sukelia proteinuriją ir (arba) hematuriją ir inkstų funkcijos susilpnėjimą, kurį rodo sumažėjęs kreatinino klirensas ir apskaičiuotas glomerulų filtracijos greitis (eGFR). Diagnozavus ir pradėjus gydymą, pacientams gali pasireikšti ligos progresavimas, o tai gali sukelti tolesnę pažaidą ir padidinti lėtinės inkstų ligos vystymosi tikimybę. Apskaičiuota, kad 10–30 % pacientų, sergančių VN, išsivysto lėtinės inkstų liga. </w:t>
      </w:r>
    </w:p>
    <w:p w14:paraId="318EA1A5" w14:textId="382D4C17" w:rsidR="009650D4" w:rsidRDefault="009650D4" w:rsidP="009650D4">
      <w:pPr>
        <w:pStyle w:val="0TEXT"/>
        <w:spacing w:before="30" w:line="276" w:lineRule="auto"/>
        <w:rPr>
          <w:rFonts w:eastAsia="Calibri"/>
          <w:lang w:val="lt-LT"/>
        </w:rPr>
      </w:pPr>
      <w:r w:rsidRPr="00737CA1">
        <w:rPr>
          <w:lang w:val="lt-LT"/>
        </w:rPr>
        <w:t xml:space="preserve">Proteinurija po 12 gydymo mėnesių yra geriausia ilgalaikių inkstų pasekmių prognozė. Todėl klinikinėse gairėse, tokiose kaip </w:t>
      </w:r>
      <w:r>
        <w:rPr>
          <w:lang w:val="lt-LT"/>
        </w:rPr>
        <w:t>Europos Sąjungos lygos prieš reumatą (</w:t>
      </w:r>
      <w:r w:rsidRPr="00737CA1">
        <w:rPr>
          <w:lang w:val="lt-LT"/>
        </w:rPr>
        <w:t>EULAR</w:t>
      </w:r>
      <w:r>
        <w:rPr>
          <w:lang w:val="lt-LT"/>
        </w:rPr>
        <w:t>)</w:t>
      </w:r>
      <w:r w:rsidRPr="00737CA1">
        <w:rPr>
          <w:lang w:val="lt-LT"/>
        </w:rPr>
        <w:t xml:space="preserve"> gairės</w:t>
      </w:r>
      <w:r>
        <w:rPr>
          <w:lang w:val="lt-LT"/>
        </w:rPr>
        <w:t xml:space="preserve"> ir Pasaulinės inkstų ligų gydymo asociacijos (KDIGO) gairės</w:t>
      </w:r>
      <w:r w:rsidRPr="00737CA1">
        <w:rPr>
          <w:lang w:val="lt-LT"/>
        </w:rPr>
        <w:t>, didžiausias dėmesys skiriamas proteinurijos / šlapimo baltymų ir kreatinino santykio (UPCR) mažinimui per 12 mėnesių kaip pagrindiniam gydymo tikslui.</w:t>
      </w:r>
      <w:r w:rsidRPr="0074650E">
        <w:rPr>
          <w:lang w:val="lt-LT"/>
        </w:rPr>
        <w:t xml:space="preserve"> Vilkligės sukeltas nefritas Lietuvoje gydomas pagal SAM nustatytą tvarką.  Remiantis 2017 m. rugsėjo 14 d. SAM įsakymu V-1090 „</w:t>
      </w:r>
      <w:r w:rsidRPr="0074650E">
        <w:rPr>
          <w:rFonts w:eastAsia="Calibri"/>
          <w:lang w:val="lt-LT"/>
        </w:rPr>
        <w:t>Dėl Sisteminės raudonosios vilkligės gydymo vaistais, kurių įsigijimo išlaidos apmokamos Privalomojo sveikatos draudimo fondo biudžeto lėšomis, tvarkos aprašo patvirtinimo“</w:t>
      </w:r>
      <w:r w:rsidRPr="0074650E">
        <w:rPr>
          <w:lang w:val="lt-LT"/>
        </w:rPr>
        <w:t xml:space="preserve"> Lietuvoje </w:t>
      </w:r>
      <w:r w:rsidRPr="0074650E">
        <w:rPr>
          <w:rFonts w:eastAsia="Calibri"/>
          <w:lang w:val="lt-LT"/>
        </w:rPr>
        <w:t xml:space="preserve">SRV, esant vidaus organų pažeidimams (pvz.: vilklinginis nefritas), gydoma hidroksichlorokvino (HCHL) ir (ar) </w:t>
      </w:r>
      <w:r w:rsidRPr="0074650E">
        <w:rPr>
          <w:rFonts w:eastAsia="AGaramondPro-Regular"/>
          <w:lang w:val="lt-LT"/>
        </w:rPr>
        <w:t>gliukokortikosteroidinio hormono</w:t>
      </w:r>
      <w:r w:rsidRPr="0074650E">
        <w:rPr>
          <w:rFonts w:eastAsia="Calibri"/>
          <w:lang w:val="lt-LT"/>
        </w:rPr>
        <w:t xml:space="preserve"> (GSH), ir (ar) imunosupresinio vaisto (azatioprino, mikofenolato mofetilio, ciklosporino A, ciklofosfamido ar metotreksato (MTX)) deriniu. Gydymo efektyvumas vertinamas kas 1–6 mėnesius. Jei gydymas efektyvus, jis tęsiamas arba koreguojamos (mažinamos) GSH ir (ar) imunosupresinio vaisto dozės. Per 6 mėnesius laikotarpį nesant pagerėjimo arba esant paūmėjimui, gali būti keičiamas imunosupresinis preparatas ir (ar) skiriamas biologinis imuninę sistemą veikiantis vaistas (ISVV) belimumabas arba rituksimabas.</w:t>
      </w:r>
      <w:r w:rsidRPr="008A73F9">
        <w:rPr>
          <w:rFonts w:eastAsia="Calibri"/>
          <w:lang w:val="lt-LT"/>
        </w:rPr>
        <w:t xml:space="preserve"> Biologinis ISVV rituksimabas skiriamas esant aktyviai SRV pagal SLEDAI, išnaudojus kitas gydymo ISVV galimybes. Gydymą rituksimabu skiria gydytojas reumatologas, turintis reumatinių ligų gydymo biologiniais vaistais patirties.</w:t>
      </w:r>
    </w:p>
    <w:p w14:paraId="47DC071D" w14:textId="77777777" w:rsidR="009650D4" w:rsidRPr="00ED1A7D" w:rsidRDefault="009650D4" w:rsidP="009650D4">
      <w:pPr>
        <w:pStyle w:val="0TEXT"/>
        <w:spacing w:before="30" w:line="276" w:lineRule="auto"/>
        <w:rPr>
          <w:rFonts w:eastAsia="Arial"/>
          <w:iCs/>
          <w:color w:val="000000" w:themeColor="text1"/>
          <w:lang w:val="lt-LT"/>
        </w:rPr>
      </w:pPr>
      <w:r w:rsidRPr="007D4BB4">
        <w:rPr>
          <w:rFonts w:eastAsia="Arial"/>
          <w:iCs/>
          <w:color w:val="000000" w:themeColor="text1"/>
          <w:lang w:val="lt-LT"/>
        </w:rPr>
        <w:t>Obinutuzumabas yra rekombinantinis, monokloninis, humanizuotas, biologinės inžinerijos būdu glikozilintas, II tipo, prieš CD20 antigeną nukreiptas, IgG1 izotipo antikūnas.</w:t>
      </w:r>
      <w:r w:rsidRPr="00ED1A7D">
        <w:rPr>
          <w:rFonts w:eastAsia="Arial"/>
          <w:iCs/>
          <w:color w:val="000000" w:themeColor="text1"/>
          <w:lang w:val="lt-LT"/>
        </w:rPr>
        <w:t xml:space="preserve"> Atsižvelgiant į siūlomą kompensuoti terapinę indikaciją obinutuzumabas galėtų būti skiriamas gydymui toje pačioje eilėje, kaip ir šiuo metu Lietuvoje jau kompensuojamas belimumabas.</w:t>
      </w:r>
    </w:p>
    <w:p w14:paraId="5F09CB02" w14:textId="0EE72BEA" w:rsidR="009650D4" w:rsidRPr="007D4BB4" w:rsidRDefault="009650D4" w:rsidP="009650D4">
      <w:pPr>
        <w:pStyle w:val="0TEXT"/>
        <w:spacing w:before="30" w:line="276" w:lineRule="auto"/>
        <w:rPr>
          <w:lang w:val="lt-LT"/>
        </w:rPr>
      </w:pPr>
      <w:r w:rsidRPr="00ED1A7D">
        <w:rPr>
          <w:rFonts w:eastAsia="Arial"/>
          <w:iCs/>
          <w:color w:val="000000" w:themeColor="text1"/>
          <w:lang w:val="lt-LT"/>
        </w:rPr>
        <w:t xml:space="preserve">Remiantis paraiškos įrašyti vaistinį preparatą į kompensavimo sąrašus rengimo taisyklių patvirtintų Lietuvos Respublikos sveikatos apsaugos ministro 2002 m. balandžio 5 d. įsakymu Nr. </w:t>
      </w:r>
      <w:r w:rsidRPr="009650D4">
        <w:rPr>
          <w:rFonts w:eastAsia="Arial"/>
          <w:iCs/>
          <w:color w:val="000000" w:themeColor="text1"/>
          <w:lang w:val="lt-LT"/>
        </w:rPr>
        <w:t>V-159 „Dėl vaistinių preparatų ir medicinos pagalbos priemonių įrašymo į kompensavimo sąrašus ir jų keitimo tvarkos aprašo patvirtinimo“ 116 - 119 punktais tinkamas palyginamasis gydymas yra belimumabas</w:t>
      </w:r>
      <w:r w:rsidR="00980833">
        <w:rPr>
          <w:rFonts w:eastAsia="Arial"/>
          <w:iCs/>
          <w:color w:val="000000" w:themeColor="text1"/>
          <w:lang w:val="lt-LT"/>
        </w:rPr>
        <w:t>.</w:t>
      </w:r>
    </w:p>
    <w:p w14:paraId="15BE0603" w14:textId="54707386" w:rsidR="009650D4" w:rsidRDefault="009650D4" w:rsidP="009650D4">
      <w:pPr>
        <w:pStyle w:val="0TEXT"/>
        <w:spacing w:before="30" w:line="276" w:lineRule="auto"/>
        <w:rPr>
          <w:rFonts w:eastAsia="Calibri"/>
          <w:lang w:val="lt-LT"/>
        </w:rPr>
      </w:pPr>
      <w:r w:rsidRPr="007D4BB4">
        <w:rPr>
          <w:rFonts w:eastAsia="Calibri"/>
          <w:lang w:val="lt-LT"/>
        </w:rPr>
        <w:t xml:space="preserve">Paraiškoje </w:t>
      </w:r>
      <w:r>
        <w:rPr>
          <w:rFonts w:eastAsia="Calibri"/>
          <w:lang w:val="lt-LT"/>
        </w:rPr>
        <w:t xml:space="preserve">buvo </w:t>
      </w:r>
      <w:r w:rsidRPr="007D4BB4">
        <w:rPr>
          <w:rFonts w:eastAsia="Calibri"/>
          <w:lang w:val="lt-LT"/>
        </w:rPr>
        <w:t>pateiktas netiesioginis palyginamas obinutuzumabo su belimumabu siekiant įrodyti nesiskirianči</w:t>
      </w:r>
      <w:r w:rsidR="00980833">
        <w:rPr>
          <w:rFonts w:eastAsia="Calibri"/>
          <w:lang w:val="lt-LT"/>
        </w:rPr>
        <w:t>ą</w:t>
      </w:r>
      <w:r w:rsidRPr="007D4BB4">
        <w:rPr>
          <w:rFonts w:eastAsia="Calibri"/>
          <w:lang w:val="lt-LT"/>
        </w:rPr>
        <w:t xml:space="preserve"> naud</w:t>
      </w:r>
      <w:r w:rsidR="00980833">
        <w:rPr>
          <w:rFonts w:eastAsia="Calibri"/>
          <w:lang w:val="lt-LT"/>
        </w:rPr>
        <w:t>ą</w:t>
      </w:r>
      <w:r w:rsidRPr="007D4BB4">
        <w:rPr>
          <w:rFonts w:eastAsia="Calibri"/>
          <w:lang w:val="lt-LT"/>
        </w:rPr>
        <w:t xml:space="preserve"> su įprasta klinikine praktika Lietuvoje</w:t>
      </w:r>
      <w:r>
        <w:rPr>
          <w:rFonts w:eastAsia="Calibri"/>
          <w:lang w:val="lt-LT"/>
        </w:rPr>
        <w:t>.</w:t>
      </w:r>
    </w:p>
    <w:p w14:paraId="35F9655A" w14:textId="77777777" w:rsidR="009650D4" w:rsidRPr="00D57325" w:rsidRDefault="009650D4" w:rsidP="009650D4">
      <w:pPr>
        <w:pStyle w:val="0TEXT"/>
        <w:spacing w:before="30" w:line="276" w:lineRule="auto"/>
        <w:rPr>
          <w:i/>
          <w:iCs/>
          <w:lang w:val="lt-LT"/>
        </w:rPr>
      </w:pPr>
      <w:r w:rsidRPr="00D57325">
        <w:rPr>
          <w:rFonts w:eastAsia="Calibri"/>
          <w:i/>
          <w:iCs/>
          <w:lang w:val="lt-LT"/>
        </w:rPr>
        <w:t>Netiesioginis palyginimas</w:t>
      </w:r>
    </w:p>
    <w:p w14:paraId="3BB1F361" w14:textId="558C4FB1" w:rsidR="009650D4" w:rsidRDefault="009650D4" w:rsidP="009650D4">
      <w:pPr>
        <w:tabs>
          <w:tab w:val="left" w:pos="567"/>
        </w:tabs>
        <w:spacing w:line="276" w:lineRule="auto"/>
        <w:jc w:val="both"/>
      </w:pPr>
      <w:r>
        <w:tab/>
      </w:r>
      <w:r w:rsidRPr="003B70E4">
        <w:t>Nesant tiesioginių obinutuzumab</w:t>
      </w:r>
      <w:r>
        <w:t xml:space="preserve">o veiksmingumo ir saugumo palyginimo </w:t>
      </w:r>
      <w:r w:rsidRPr="003B70E4">
        <w:t>įrodymų</w:t>
      </w:r>
      <w:r>
        <w:t xml:space="preserve"> su įprasta klinikinė praktika </w:t>
      </w:r>
      <w:r w:rsidR="00753EC2">
        <w:t>Lietuvoje</w:t>
      </w:r>
      <w:r w:rsidRPr="003B70E4">
        <w:t xml:space="preserve">, </w:t>
      </w:r>
      <w:r>
        <w:t xml:space="preserve">pareiškėjas pateikė </w:t>
      </w:r>
      <w:r w:rsidRPr="003B70E4">
        <w:t>tinklinė</w:t>
      </w:r>
      <w:r>
        <w:t>s</w:t>
      </w:r>
      <w:r w:rsidRPr="003B70E4">
        <w:t xml:space="preserve"> meta-analizė</w:t>
      </w:r>
      <w:r>
        <w:t>s</w:t>
      </w:r>
      <w:r w:rsidRPr="003B70E4">
        <w:t xml:space="preserve"> (</w:t>
      </w:r>
      <w:r>
        <w:t xml:space="preserve">TMA, </w:t>
      </w:r>
      <w:r w:rsidRPr="00447742">
        <w:rPr>
          <w:i/>
          <w:iCs/>
        </w:rPr>
        <w:t>angl.</w:t>
      </w:r>
      <w:r>
        <w:t xml:space="preserve"> </w:t>
      </w:r>
      <w:r w:rsidRPr="00830581">
        <w:rPr>
          <w:i/>
          <w:iCs/>
        </w:rPr>
        <w:t>network metaanalysis -NMA</w:t>
      </w:r>
      <w:r w:rsidRPr="003B70E4">
        <w:t xml:space="preserve">), </w:t>
      </w:r>
      <w:r>
        <w:t>rezultatus. TMA atlikti buvo įvertinti</w:t>
      </w:r>
      <w:r w:rsidRPr="003B70E4">
        <w:t xml:space="preserve"> publikacijų duomenų tinkamum</w:t>
      </w:r>
      <w:r>
        <w:t>as</w:t>
      </w:r>
      <w:r w:rsidRPr="003B70E4">
        <w:t xml:space="preserve"> </w:t>
      </w:r>
      <w:r w:rsidRPr="003B70E4">
        <w:lastRenderedPageBreak/>
        <w:t>apjungimui (</w:t>
      </w:r>
      <w:r>
        <w:t xml:space="preserve">angl. </w:t>
      </w:r>
      <w:r w:rsidRPr="00A5208F">
        <w:rPr>
          <w:i/>
          <w:iCs/>
        </w:rPr>
        <w:t>feasibility assessment</w:t>
      </w:r>
      <w:r w:rsidRPr="00830581">
        <w:rPr>
          <w:i/>
          <w:iCs/>
        </w:rPr>
        <w:t xml:space="preserve"> – FA</w:t>
      </w:r>
      <w:r w:rsidRPr="003B70E4">
        <w:t xml:space="preserve">). </w:t>
      </w:r>
      <w:r>
        <w:t>Sisteminės literatūros apžvalga</w:t>
      </w:r>
      <w:r w:rsidRPr="003B70E4">
        <w:t xml:space="preserve"> </w:t>
      </w:r>
      <w:r>
        <w:t xml:space="preserve">(SLA) </w:t>
      </w:r>
      <w:r w:rsidRPr="003B70E4">
        <w:t>buvo atlikt</w:t>
      </w:r>
      <w:r>
        <w:t>a</w:t>
      </w:r>
      <w:r w:rsidRPr="003B70E4">
        <w:t xml:space="preserve"> siekiant įvertinti obinutuzumabo, ir atitinkamų palyginamųjų vaistų veiksmingumą, saugumą, ir </w:t>
      </w:r>
      <w:r>
        <w:t>gyvenimo kokybės (</w:t>
      </w:r>
      <w:r w:rsidRPr="00447742">
        <w:rPr>
          <w:i/>
          <w:iCs/>
        </w:rPr>
        <w:t>angl. HRQoL</w:t>
      </w:r>
      <w:r>
        <w:t xml:space="preserve">) </w:t>
      </w:r>
      <w:r w:rsidRPr="003B70E4">
        <w:t>iš atsitiktinių imčių kontroliuojamų tyrimų (</w:t>
      </w:r>
      <w:r w:rsidRPr="00447742">
        <w:rPr>
          <w:i/>
          <w:iCs/>
        </w:rPr>
        <w:t>angl. RCT, randomzed clinical trials</w:t>
      </w:r>
      <w:r>
        <w:t>)</w:t>
      </w:r>
      <w:r w:rsidRPr="003B70E4">
        <w:t>, kuriuose dalyvavo pacientai, sergantys VN.</w:t>
      </w:r>
    </w:p>
    <w:p w14:paraId="34D2A73B" w14:textId="77777777" w:rsidR="009650D4" w:rsidRDefault="009650D4" w:rsidP="009650D4">
      <w:pPr>
        <w:tabs>
          <w:tab w:val="left" w:pos="567"/>
        </w:tabs>
        <w:spacing w:line="276" w:lineRule="auto"/>
        <w:jc w:val="both"/>
        <w:rPr>
          <w:rFonts w:eastAsia="Arial"/>
          <w:bCs/>
        </w:rPr>
      </w:pPr>
      <w:r>
        <w:tab/>
        <w:t xml:space="preserve">Vertinimo metu buvo nustatyta, kad </w:t>
      </w:r>
      <w:r>
        <w:rPr>
          <w:rFonts w:eastAsia="Arial"/>
          <w:bCs/>
        </w:rPr>
        <w:t>pacientų populiacija, palyginamasis gydymas ir vertinamosios baigtys atitinka reikalavimus, taikytinus Lietuvos klinikinėje praktikoje. Vertinimas grindžiamas bazinio atvejo analizės. Dominantys tyrimai, įtraukti į TMA, buvo REGENCY, NOBILITY (obinutuzumabo ir mekofenolato derinys) ir BLISS-LN (</w:t>
      </w:r>
      <w:r w:rsidRPr="007D4BB4">
        <w:rPr>
          <w:rFonts w:eastAsia="Calibri"/>
        </w:rPr>
        <w:t>belimumab</w:t>
      </w:r>
      <w:r>
        <w:rPr>
          <w:rFonts w:eastAsia="Calibri"/>
        </w:rPr>
        <w:t xml:space="preserve">o ir </w:t>
      </w:r>
      <w:r>
        <w:rPr>
          <w:rFonts w:eastAsia="Arial"/>
          <w:bCs/>
        </w:rPr>
        <w:t>mekofenolato derinys).</w:t>
      </w:r>
    </w:p>
    <w:p w14:paraId="106657DB" w14:textId="77777777" w:rsidR="009650D4" w:rsidRPr="00F97EAF" w:rsidRDefault="009650D4" w:rsidP="009650D4">
      <w:pPr>
        <w:tabs>
          <w:tab w:val="left" w:pos="567"/>
        </w:tabs>
        <w:spacing w:line="276" w:lineRule="auto"/>
        <w:jc w:val="both"/>
        <w:rPr>
          <w:rFonts w:eastAsia="Arial"/>
          <w:bCs/>
        </w:rPr>
      </w:pPr>
      <w:r>
        <w:rPr>
          <w:rFonts w:eastAsia="Arial"/>
          <w:bCs/>
        </w:rPr>
        <w:tab/>
      </w:r>
      <w:r w:rsidRPr="00B86D52">
        <w:rPr>
          <w:rFonts w:eastAsia="Arial"/>
          <w:bCs/>
          <w:u w:val="single"/>
        </w:rPr>
        <w:t>Pirminės baigties rezultatai – visiškas inkstų atsakas</w:t>
      </w:r>
      <w:r>
        <w:rPr>
          <w:rFonts w:eastAsia="Arial"/>
          <w:bCs/>
          <w:u w:val="single"/>
        </w:rPr>
        <w:t>.</w:t>
      </w:r>
    </w:p>
    <w:p w14:paraId="414522BB" w14:textId="4BA590DB" w:rsidR="009650D4" w:rsidRDefault="009650D4" w:rsidP="009650D4">
      <w:pPr>
        <w:spacing w:line="276" w:lineRule="auto"/>
        <w:jc w:val="both"/>
        <w:outlineLvl w:val="1"/>
        <w:rPr>
          <w:rFonts w:eastAsia="Arial"/>
          <w:bCs/>
        </w:rPr>
      </w:pPr>
      <w:r>
        <w:rPr>
          <w:rFonts w:eastAsia="Arial"/>
          <w:bCs/>
        </w:rPr>
        <w:t>V</w:t>
      </w:r>
      <w:r w:rsidRPr="00135A00">
        <w:rPr>
          <w:rFonts w:eastAsia="Arial"/>
          <w:bCs/>
        </w:rPr>
        <w:t>isišk</w:t>
      </w:r>
      <w:r w:rsidR="00EA6D96">
        <w:rPr>
          <w:rFonts w:eastAsia="Arial"/>
          <w:bCs/>
        </w:rPr>
        <w:t>as</w:t>
      </w:r>
      <w:r w:rsidRPr="00135A00">
        <w:rPr>
          <w:rFonts w:eastAsia="Arial"/>
          <w:bCs/>
        </w:rPr>
        <w:t xml:space="preserve"> inkstų atsak</w:t>
      </w:r>
      <w:r>
        <w:rPr>
          <w:rFonts w:eastAsia="Arial"/>
          <w:bCs/>
        </w:rPr>
        <w:t xml:space="preserve">as </w:t>
      </w:r>
      <w:r w:rsidRPr="00135A00">
        <w:rPr>
          <w:rFonts w:eastAsia="Arial"/>
          <w:bCs/>
        </w:rPr>
        <w:t xml:space="preserve">(VIA) </w:t>
      </w:r>
      <w:r>
        <w:rPr>
          <w:rFonts w:eastAsia="Arial"/>
          <w:bCs/>
        </w:rPr>
        <w:t xml:space="preserve">buvo </w:t>
      </w:r>
      <w:r w:rsidRPr="00135A00">
        <w:rPr>
          <w:rFonts w:eastAsia="Arial"/>
          <w:bCs/>
        </w:rPr>
        <w:t>apibrėž</w:t>
      </w:r>
      <w:r>
        <w:rPr>
          <w:rFonts w:eastAsia="Arial"/>
          <w:bCs/>
        </w:rPr>
        <w:t xml:space="preserve">tas </w:t>
      </w:r>
      <w:r w:rsidRPr="00135A00">
        <w:rPr>
          <w:rFonts w:eastAsia="Arial"/>
          <w:bCs/>
        </w:rPr>
        <w:t>kaip atitinkantis visus šiuos kriterijus: UPCR &lt; 0,5 g/g; apskaičiuotasis</w:t>
      </w:r>
      <w:r>
        <w:rPr>
          <w:rFonts w:eastAsia="Arial"/>
          <w:bCs/>
        </w:rPr>
        <w:t xml:space="preserve"> </w:t>
      </w:r>
      <w:r w:rsidRPr="00135A00">
        <w:rPr>
          <w:rFonts w:eastAsia="Arial"/>
          <w:bCs/>
        </w:rPr>
        <w:t>glomerulų filtracijos greitis (aGFG) ≥ 85</w:t>
      </w:r>
      <w:r>
        <w:rPr>
          <w:rFonts w:eastAsia="Arial"/>
          <w:bCs/>
        </w:rPr>
        <w:t xml:space="preserve"> proc.</w:t>
      </w:r>
      <w:r w:rsidRPr="00135A00">
        <w:rPr>
          <w:rFonts w:eastAsia="Arial"/>
          <w:bCs/>
        </w:rPr>
        <w:t xml:space="preserve"> pradinio lygio, apskaičiuotas naudojant 2009 metų Lėtinės inkstų ligos epidemiologijos bendradarbiavimo (LIL-EPI) lygtį; nepasireiškus jokiems iš šių tarpinių reiškinių: nebuvo skirtas gelbstintysis gydymas, nenustatyta gydymo nesėkmė, mirtis ar ankstyvas pasitraukimas iš tyrimo. </w:t>
      </w:r>
      <w:r>
        <w:rPr>
          <w:rFonts w:eastAsia="Arial"/>
          <w:bCs/>
        </w:rPr>
        <w:t>N</w:t>
      </w:r>
      <w:r w:rsidRPr="002325BB">
        <w:rPr>
          <w:rFonts w:eastAsia="Arial"/>
          <w:bCs/>
        </w:rPr>
        <w:t>etiesioginės meta</w:t>
      </w:r>
      <w:r>
        <w:rPr>
          <w:rFonts w:eastAsia="Arial"/>
          <w:bCs/>
        </w:rPr>
        <w:t>-</w:t>
      </w:r>
      <w:r w:rsidRPr="002325BB">
        <w:rPr>
          <w:rFonts w:eastAsia="Arial"/>
          <w:bCs/>
        </w:rPr>
        <w:t xml:space="preserve">analizės (NMA) rezultatai parodė, kad tarp </w:t>
      </w:r>
      <w:r>
        <w:rPr>
          <w:rFonts w:eastAsia="Arial"/>
          <w:bCs/>
        </w:rPr>
        <w:t>obinutuzumab</w:t>
      </w:r>
      <w:r w:rsidR="00DA5348">
        <w:rPr>
          <w:rFonts w:eastAsia="Arial"/>
          <w:bCs/>
        </w:rPr>
        <w:t>o</w:t>
      </w:r>
      <w:r>
        <w:rPr>
          <w:rFonts w:eastAsia="Arial"/>
          <w:bCs/>
        </w:rPr>
        <w:t xml:space="preserve"> ir</w:t>
      </w:r>
      <w:r w:rsidRPr="003E0EE2">
        <w:rPr>
          <w:rFonts w:eastAsia="Arial"/>
          <w:bCs/>
        </w:rPr>
        <w:t xml:space="preserve"> </w:t>
      </w:r>
      <w:r>
        <w:rPr>
          <w:rFonts w:eastAsia="Arial"/>
          <w:bCs/>
        </w:rPr>
        <w:t>mikofenolato derinio (</w:t>
      </w:r>
      <w:r w:rsidRPr="002325BB">
        <w:rPr>
          <w:rFonts w:eastAsia="Arial"/>
          <w:bCs/>
        </w:rPr>
        <w:t>OBZ + MMF</w:t>
      </w:r>
      <w:r>
        <w:rPr>
          <w:rFonts w:eastAsia="Arial"/>
          <w:bCs/>
        </w:rPr>
        <w:t>)</w:t>
      </w:r>
      <w:r w:rsidRPr="002325BB">
        <w:rPr>
          <w:rFonts w:eastAsia="Arial"/>
          <w:bCs/>
        </w:rPr>
        <w:t xml:space="preserve"> ir kitų lyginamųjų gydymo būdų</w:t>
      </w:r>
      <w:r>
        <w:rPr>
          <w:rFonts w:eastAsia="Arial"/>
          <w:bCs/>
        </w:rPr>
        <w:t xml:space="preserve"> (t.y. </w:t>
      </w:r>
      <w:r>
        <w:rPr>
          <w:bCs/>
          <w:i/>
          <w:iCs/>
        </w:rPr>
        <w:t>belimumabas, mikofenolatas, voklosporinas)</w:t>
      </w:r>
      <w:r w:rsidRPr="002325BB">
        <w:rPr>
          <w:rFonts w:eastAsia="Arial"/>
          <w:bCs/>
        </w:rPr>
        <w:t xml:space="preserve"> statistiškai reikšmingo skirtumo nėra. </w:t>
      </w:r>
      <w:r>
        <w:rPr>
          <w:rFonts w:eastAsia="Arial"/>
          <w:bCs/>
        </w:rPr>
        <w:t>Specifiškai, p</w:t>
      </w:r>
      <w:r w:rsidRPr="002325BB">
        <w:rPr>
          <w:rFonts w:eastAsia="Arial"/>
          <w:bCs/>
        </w:rPr>
        <w:t xml:space="preserve">alyginus su </w:t>
      </w:r>
      <w:r>
        <w:rPr>
          <w:rFonts w:eastAsia="Arial"/>
          <w:bCs/>
        </w:rPr>
        <w:t>belimumabo ir mikofenolato deriniu</w:t>
      </w:r>
      <w:r w:rsidRPr="002325BB">
        <w:rPr>
          <w:rFonts w:eastAsia="Arial"/>
          <w:bCs/>
        </w:rPr>
        <w:t xml:space="preserve">, </w:t>
      </w:r>
      <w:r>
        <w:rPr>
          <w:rFonts w:eastAsia="Arial"/>
          <w:bCs/>
        </w:rPr>
        <w:t>obinutuzumab</w:t>
      </w:r>
      <w:r w:rsidR="0003669B">
        <w:rPr>
          <w:rFonts w:eastAsia="Arial"/>
          <w:bCs/>
        </w:rPr>
        <w:t>o</w:t>
      </w:r>
      <w:r>
        <w:rPr>
          <w:rFonts w:eastAsia="Arial"/>
          <w:bCs/>
        </w:rPr>
        <w:t xml:space="preserve"> ir</w:t>
      </w:r>
      <w:r w:rsidRPr="003E0EE2">
        <w:rPr>
          <w:rFonts w:eastAsia="Arial"/>
          <w:bCs/>
        </w:rPr>
        <w:t xml:space="preserve"> </w:t>
      </w:r>
      <w:r>
        <w:rPr>
          <w:rFonts w:eastAsia="Arial"/>
          <w:bCs/>
        </w:rPr>
        <w:t xml:space="preserve">mikofenolato derinys </w:t>
      </w:r>
      <w:r w:rsidRPr="002325BB">
        <w:rPr>
          <w:rFonts w:eastAsia="Arial"/>
          <w:bCs/>
        </w:rPr>
        <w:t xml:space="preserve"> šansų santykiai (</w:t>
      </w:r>
      <w:r>
        <w:rPr>
          <w:rFonts w:eastAsia="Arial"/>
          <w:bCs/>
        </w:rPr>
        <w:t>ŠS</w:t>
      </w:r>
      <w:r w:rsidRPr="002325BB">
        <w:rPr>
          <w:rFonts w:eastAsia="Arial"/>
          <w:bCs/>
        </w:rPr>
        <w:t>)</w:t>
      </w:r>
      <w:r>
        <w:rPr>
          <w:rFonts w:eastAsia="Arial"/>
          <w:bCs/>
        </w:rPr>
        <w:t xml:space="preserve"> buvo</w:t>
      </w:r>
      <w:r w:rsidRPr="002325BB">
        <w:rPr>
          <w:rFonts w:eastAsia="Arial"/>
          <w:bCs/>
        </w:rPr>
        <w:t xml:space="preserve"> 1,04 (</w:t>
      </w:r>
      <w:r w:rsidRPr="009A0DDB">
        <w:rPr>
          <w:rFonts w:eastAsia="Arial"/>
          <w:bCs/>
        </w:rPr>
        <w:t>9</w:t>
      </w:r>
      <w:r>
        <w:rPr>
          <w:rFonts w:eastAsia="Arial"/>
          <w:bCs/>
        </w:rPr>
        <w:t xml:space="preserve">5 </w:t>
      </w:r>
      <w:r w:rsidRPr="009A0DDB">
        <w:rPr>
          <w:rFonts w:eastAsia="Arial"/>
          <w:bCs/>
        </w:rPr>
        <w:t>pr</w:t>
      </w:r>
      <w:r>
        <w:rPr>
          <w:rFonts w:eastAsia="Arial"/>
          <w:bCs/>
        </w:rPr>
        <w:t xml:space="preserve">oc. CrI </w:t>
      </w:r>
      <w:r w:rsidRPr="002325BB">
        <w:rPr>
          <w:rFonts w:eastAsia="Arial"/>
          <w:bCs/>
        </w:rPr>
        <w:t>0,36; 3,02)</w:t>
      </w:r>
      <w:r>
        <w:rPr>
          <w:rFonts w:eastAsia="Arial"/>
          <w:bCs/>
        </w:rPr>
        <w:t xml:space="preserve">. </w:t>
      </w:r>
    </w:p>
    <w:p w14:paraId="1452464A" w14:textId="77777777" w:rsidR="009650D4" w:rsidRDefault="009650D4" w:rsidP="009650D4">
      <w:pPr>
        <w:tabs>
          <w:tab w:val="left" w:pos="492"/>
        </w:tabs>
        <w:spacing w:line="276" w:lineRule="auto"/>
        <w:jc w:val="both"/>
        <w:outlineLvl w:val="1"/>
        <w:rPr>
          <w:rFonts w:eastAsia="Arial"/>
          <w:bCs/>
        </w:rPr>
      </w:pPr>
      <w:r>
        <w:rPr>
          <w:rFonts w:eastAsia="Arial"/>
          <w:bCs/>
        </w:rPr>
        <w:tab/>
        <w:t>Antrinių vertinamųjų baigčių analizė (dalinis inkstų atsakas, bendras inkstų atsakas ir</w:t>
      </w:r>
      <w:r w:rsidRPr="00F97EAF">
        <w:rPr>
          <w:iCs/>
        </w:rPr>
        <w:t xml:space="preserve"> </w:t>
      </w:r>
      <w:r w:rsidRPr="00AF5DEA">
        <w:rPr>
          <w:iCs/>
        </w:rPr>
        <w:t>aGFG (apskaičiuoto glomerulų filtracijos greičio) pokyt</w:t>
      </w:r>
      <w:r>
        <w:rPr>
          <w:iCs/>
        </w:rPr>
        <w:t>is</w:t>
      </w:r>
      <w:r w:rsidRPr="00AF5DEA">
        <w:rPr>
          <w:iCs/>
        </w:rPr>
        <w:t xml:space="preserve"> nuo pradinio lygio (PPL)</w:t>
      </w:r>
      <w:r>
        <w:rPr>
          <w:iCs/>
        </w:rPr>
        <w:t xml:space="preserve">) taip pat neparodė </w:t>
      </w:r>
      <w:r w:rsidRPr="002325BB">
        <w:rPr>
          <w:rFonts w:eastAsia="Arial"/>
          <w:bCs/>
        </w:rPr>
        <w:t>statistiškai reikšmingo skirtumo</w:t>
      </w:r>
      <w:r>
        <w:rPr>
          <w:rFonts w:eastAsia="Arial"/>
          <w:bCs/>
        </w:rPr>
        <w:t xml:space="preserve"> pagrindinio atvejo analizėje bei taikant jautrumo analizes.</w:t>
      </w:r>
    </w:p>
    <w:p w14:paraId="335F3D01" w14:textId="77777777" w:rsidR="009650D4" w:rsidRDefault="009650D4" w:rsidP="009650D4">
      <w:pPr>
        <w:tabs>
          <w:tab w:val="left" w:pos="492"/>
        </w:tabs>
        <w:spacing w:line="276" w:lineRule="auto"/>
        <w:jc w:val="both"/>
        <w:outlineLvl w:val="1"/>
        <w:rPr>
          <w:rFonts w:eastAsia="Arial"/>
          <w:bCs/>
        </w:rPr>
      </w:pPr>
      <w:r>
        <w:rPr>
          <w:rFonts w:eastAsia="Arial"/>
          <w:bCs/>
        </w:rPr>
        <w:tab/>
      </w:r>
      <w:r w:rsidRPr="00471B83">
        <w:rPr>
          <w:rFonts w:eastAsia="Arial"/>
          <w:bCs/>
        </w:rPr>
        <w:t>Ilgalaikio vartojimo duomenys apsir</w:t>
      </w:r>
      <w:r>
        <w:rPr>
          <w:rFonts w:eastAsia="Arial"/>
          <w:bCs/>
        </w:rPr>
        <w:t>ibo</w:t>
      </w:r>
      <w:r w:rsidRPr="00471B83">
        <w:rPr>
          <w:rFonts w:eastAsia="Arial"/>
          <w:bCs/>
        </w:rPr>
        <w:t>ti 76 savaičių duomenimis.</w:t>
      </w:r>
    </w:p>
    <w:p w14:paraId="67B42B13" w14:textId="7BC42823" w:rsidR="009650D4" w:rsidRDefault="009650D4" w:rsidP="009650D4">
      <w:pPr>
        <w:tabs>
          <w:tab w:val="left" w:pos="492"/>
        </w:tabs>
        <w:spacing w:line="276" w:lineRule="auto"/>
        <w:jc w:val="both"/>
        <w:outlineLvl w:val="1"/>
        <w:rPr>
          <w:rFonts w:eastAsia="Arial"/>
          <w:bCs/>
        </w:rPr>
      </w:pPr>
      <w:r>
        <w:rPr>
          <w:rFonts w:eastAsia="Arial"/>
          <w:bCs/>
        </w:rPr>
        <w:tab/>
        <w:t xml:space="preserve">Nepageidaujamų reiškinių palyginamoji analizė taip pat buvo atlikta. </w:t>
      </w:r>
      <w:r w:rsidRPr="00A10210">
        <w:rPr>
          <w:rFonts w:eastAsia="Arial"/>
          <w:bCs/>
        </w:rPr>
        <w:t xml:space="preserve">Bendrai įvertinus netiesioginio palyginimo analizės rezultatus, nustatyta, kad gydymas </w:t>
      </w:r>
      <w:r>
        <w:rPr>
          <w:rFonts w:eastAsia="Arial"/>
          <w:bCs/>
        </w:rPr>
        <w:t>obinutuzumab</w:t>
      </w:r>
      <w:r w:rsidR="00D9331A">
        <w:rPr>
          <w:rFonts w:eastAsia="Arial"/>
          <w:bCs/>
        </w:rPr>
        <w:t>o</w:t>
      </w:r>
      <w:r>
        <w:rPr>
          <w:rFonts w:eastAsia="Arial"/>
          <w:bCs/>
        </w:rPr>
        <w:t xml:space="preserve"> ir</w:t>
      </w:r>
      <w:r w:rsidRPr="003E0EE2">
        <w:rPr>
          <w:rFonts w:eastAsia="Arial"/>
          <w:bCs/>
        </w:rPr>
        <w:t xml:space="preserve"> </w:t>
      </w:r>
      <w:r>
        <w:rPr>
          <w:rFonts w:eastAsia="Arial"/>
          <w:bCs/>
        </w:rPr>
        <w:t xml:space="preserve">mikofenolato derinys </w:t>
      </w:r>
      <w:r w:rsidRPr="00A10210">
        <w:rPr>
          <w:rFonts w:eastAsia="Arial"/>
          <w:bCs/>
        </w:rPr>
        <w:t xml:space="preserve">galimai yra susijęs su statistiškai reikšmingai didesne </w:t>
      </w:r>
      <w:r>
        <w:rPr>
          <w:rFonts w:eastAsia="Arial"/>
          <w:bCs/>
        </w:rPr>
        <w:t xml:space="preserve">sunkų nepageidaujamų reiškinių </w:t>
      </w:r>
      <w:r w:rsidRPr="00A10210">
        <w:rPr>
          <w:rFonts w:eastAsia="Arial"/>
          <w:bCs/>
        </w:rPr>
        <w:t xml:space="preserve">tikimybe, palyginus su </w:t>
      </w:r>
      <w:r>
        <w:rPr>
          <w:rFonts w:eastAsia="Arial"/>
          <w:bCs/>
        </w:rPr>
        <w:t>belimumabo ir mikofenolato deriniu</w:t>
      </w:r>
      <w:r w:rsidRPr="00A10210">
        <w:rPr>
          <w:rFonts w:eastAsia="Arial"/>
          <w:bCs/>
        </w:rPr>
        <w:t xml:space="preserve"> gydymu. Todėl tarnyba rekomenduoja skiriant obinutuzumabą įvertinti pacientui naudos ir rizikos (dėl galimų infekcijų) santykį bei </w:t>
      </w:r>
      <w:r w:rsidR="00980833" w:rsidRPr="00A10210">
        <w:rPr>
          <w:rFonts w:eastAsia="Arial"/>
          <w:bCs/>
        </w:rPr>
        <w:t xml:space="preserve">kartu </w:t>
      </w:r>
      <w:r w:rsidRPr="00A10210">
        <w:rPr>
          <w:rFonts w:eastAsia="Arial"/>
          <w:bCs/>
        </w:rPr>
        <w:t>taikytą gydymą (</w:t>
      </w:r>
      <w:r>
        <w:rPr>
          <w:rFonts w:eastAsia="Arial"/>
          <w:bCs/>
        </w:rPr>
        <w:t>pvz.</w:t>
      </w:r>
      <w:r w:rsidR="00980833">
        <w:rPr>
          <w:rFonts w:eastAsia="Arial"/>
          <w:bCs/>
        </w:rPr>
        <w:t>,</w:t>
      </w:r>
      <w:r>
        <w:rPr>
          <w:rFonts w:eastAsia="Arial"/>
          <w:bCs/>
        </w:rPr>
        <w:t xml:space="preserve"> </w:t>
      </w:r>
      <w:r w:rsidRPr="00A10210">
        <w:rPr>
          <w:rFonts w:eastAsia="Arial"/>
          <w:bCs/>
        </w:rPr>
        <w:t>kortikosterodais).</w:t>
      </w:r>
    </w:p>
    <w:p w14:paraId="05E55E55" w14:textId="77777777" w:rsidR="009650D4" w:rsidRPr="00471B83" w:rsidRDefault="009650D4" w:rsidP="009650D4">
      <w:pPr>
        <w:tabs>
          <w:tab w:val="left" w:pos="492"/>
        </w:tabs>
        <w:spacing w:line="276" w:lineRule="auto"/>
        <w:jc w:val="both"/>
        <w:outlineLvl w:val="1"/>
        <w:rPr>
          <w:rFonts w:eastAsia="Arial"/>
          <w:bCs/>
        </w:rPr>
      </w:pPr>
      <w:r>
        <w:rPr>
          <w:rFonts w:eastAsia="Arial"/>
          <w:bCs/>
        </w:rPr>
        <w:tab/>
      </w:r>
      <w:r w:rsidRPr="00471B83">
        <w:rPr>
          <w:rFonts w:eastAsia="Arial"/>
          <w:bCs/>
        </w:rPr>
        <w:t xml:space="preserve">Apibendrinant, </w:t>
      </w:r>
      <w:r w:rsidRPr="00471B83">
        <w:rPr>
          <w:bCs/>
          <w:lang w:eastAsia="lt-LT"/>
        </w:rPr>
        <w:t xml:space="preserve">vaistinio preparato palyginamasis veiksmingumas yra įvertintas kaip </w:t>
      </w:r>
      <w:r w:rsidRPr="00471B83">
        <w:rPr>
          <w:bCs/>
          <w:i/>
          <w:iCs/>
          <w:lang w:eastAsia="lt-LT"/>
        </w:rPr>
        <w:t>iš esmės nesiskiriantis</w:t>
      </w:r>
      <w:r w:rsidRPr="00471B83">
        <w:rPr>
          <w:bCs/>
          <w:lang w:eastAsia="lt-LT"/>
        </w:rPr>
        <w:t xml:space="preserve"> lyginant su įprasta klinikine praktika. </w:t>
      </w:r>
    </w:p>
    <w:p w14:paraId="39C1ADA8" w14:textId="77777777" w:rsidR="00AC5129" w:rsidRPr="000203E1" w:rsidRDefault="00AC5129" w:rsidP="00A93AA6">
      <w:pPr>
        <w:pStyle w:val="ListParagraph"/>
        <w:tabs>
          <w:tab w:val="left" w:pos="426"/>
        </w:tabs>
        <w:ind w:left="0"/>
        <w:rPr>
          <w:b/>
          <w:bCs/>
          <w:caps/>
        </w:rPr>
      </w:pPr>
    </w:p>
    <w:p w14:paraId="7DE09EB5" w14:textId="69E9DD74" w:rsidR="00E03C3F" w:rsidRPr="000203E1" w:rsidRDefault="00CC7832" w:rsidP="00CC09D4">
      <w:pPr>
        <w:pStyle w:val="ListParagraph"/>
        <w:numPr>
          <w:ilvl w:val="0"/>
          <w:numId w:val="12"/>
        </w:numPr>
        <w:tabs>
          <w:tab w:val="left" w:pos="567"/>
        </w:tabs>
        <w:ind w:hanging="720"/>
        <w:rPr>
          <w:b/>
          <w:bCs/>
          <w:caps/>
        </w:rPr>
      </w:pPr>
      <w:r w:rsidRPr="000203E1">
        <w:rPr>
          <w:b/>
          <w:bCs/>
          <w:caps/>
        </w:rPr>
        <w:t xml:space="preserve">ekonominio vertinimo </w:t>
      </w:r>
      <w:r w:rsidR="002F0E4F" w:rsidRPr="000203E1">
        <w:rPr>
          <w:b/>
          <w:bCs/>
          <w:caps/>
        </w:rPr>
        <w:t>apibendrinimas</w:t>
      </w:r>
    </w:p>
    <w:p w14:paraId="02A01BA3" w14:textId="77777777" w:rsidR="003C26A9" w:rsidRDefault="003C26A9" w:rsidP="00A93AA6">
      <w:pPr>
        <w:tabs>
          <w:tab w:val="left" w:pos="426"/>
        </w:tabs>
        <w:rPr>
          <w:b/>
          <w:lang w:eastAsia="lt-LT"/>
        </w:rPr>
      </w:pPr>
    </w:p>
    <w:p w14:paraId="65F0812C" w14:textId="5D7AD9AE" w:rsidR="006702E2" w:rsidRDefault="006702E2" w:rsidP="006702E2">
      <w:pPr>
        <w:spacing w:line="276" w:lineRule="auto"/>
        <w:jc w:val="both"/>
        <w:rPr>
          <w:color w:val="000000" w:themeColor="text1"/>
        </w:rPr>
      </w:pPr>
      <w:r w:rsidRPr="005F74EC">
        <w:rPr>
          <w:rFonts w:eastAsia="Arial"/>
          <w:color w:val="000000" w:themeColor="text1"/>
        </w:rPr>
        <w:t xml:space="preserve">Vykdant </w:t>
      </w:r>
      <w:r w:rsidRPr="005F74EC">
        <w:rPr>
          <w:color w:val="000000" w:themeColor="text1"/>
        </w:rPr>
        <w:t>Vaistinių preparatų ir medicinos pagalbos priemonių įrašymo į kompensavimo sąrašus ir jų keitimo tvarkos aprašo, patvirtinto Lietuvos Respublikos sveikatos apsaugos ministro 2002 m. balandžio 5 d. įsakymu Nr. V-159 „Dėl vaistinių preparatų ir medicinos pagalbos priemonių įrašymo į kompensavimo sąrašus ir jų keitimo tvarkos aprašo patvirtinimo“ (toliau – Aprašas) 17</w:t>
      </w:r>
      <w:r w:rsidRPr="005F74EC">
        <w:rPr>
          <w:color w:val="000000" w:themeColor="text1"/>
          <w:vertAlign w:val="superscript"/>
        </w:rPr>
        <w:t>3</w:t>
      </w:r>
      <w:r w:rsidR="009D6B45">
        <w:rPr>
          <w:color w:val="000000" w:themeColor="text1"/>
        </w:rPr>
        <w:t>.3</w:t>
      </w:r>
      <w:r w:rsidRPr="005F74EC">
        <w:rPr>
          <w:color w:val="000000" w:themeColor="text1"/>
        </w:rPr>
        <w:t xml:space="preserve"> punktą, ekonominis vertinimas neatliekamas </w:t>
      </w:r>
      <w:r w:rsidRPr="005F74EC">
        <w:rPr>
          <w:rFonts w:eastAsia="Arial"/>
          <w:color w:val="000000" w:themeColor="text1"/>
        </w:rPr>
        <w:t xml:space="preserve">klinikinio vertinimo metu nustačius </w:t>
      </w:r>
      <w:r w:rsidRPr="005F74EC">
        <w:rPr>
          <w:bCs/>
          <w:i/>
          <w:iCs/>
          <w:color w:val="000000" w:themeColor="text1"/>
          <w:lang w:eastAsia="lt-LT"/>
        </w:rPr>
        <w:t>iš esmės nesiskiriantį</w:t>
      </w:r>
      <w:r w:rsidRPr="005F74EC">
        <w:rPr>
          <w:rFonts w:eastAsia="Arial"/>
          <w:color w:val="000000" w:themeColor="text1"/>
        </w:rPr>
        <w:t xml:space="preserve"> palyginamąjį veiksmingumą lyginant su įprasta klinikine praktika (atitinka </w:t>
      </w:r>
      <w:r w:rsidRPr="005F74EC">
        <w:rPr>
          <w:color w:val="000000" w:themeColor="text1"/>
        </w:rPr>
        <w:t>Vaistinių preparatų ir medicinos pagalbos priemonių įrašymo į kompensavimo sąrašus ir jų keitimo tvarkos aprašo, patvirtinto Lietuvos Respublikos sveikatos apsaugos ministro 2002 m. balandžio 5 d. įsakymu Nr. V-159 „Dėl vaistinių preparatų ir medicinos pagalbos priemonių įrašymo į kompensavimo sąrašus ir jų keitimo tvarkos aprašo patvirtinimo“ 29.1.2 papunktį).</w:t>
      </w:r>
    </w:p>
    <w:p w14:paraId="569857F7" w14:textId="77777777" w:rsidR="006702E2" w:rsidRDefault="006702E2" w:rsidP="006702E2">
      <w:pPr>
        <w:tabs>
          <w:tab w:val="left" w:pos="567"/>
        </w:tabs>
        <w:jc w:val="both"/>
        <w:rPr>
          <w:caps/>
        </w:rPr>
      </w:pPr>
    </w:p>
    <w:p w14:paraId="5F0ECCC9" w14:textId="77777777" w:rsidR="00BA36CC" w:rsidRPr="0074650E" w:rsidRDefault="00BA36CC" w:rsidP="006702E2">
      <w:pPr>
        <w:tabs>
          <w:tab w:val="left" w:pos="567"/>
        </w:tabs>
        <w:jc w:val="both"/>
        <w:rPr>
          <w:caps/>
        </w:rPr>
      </w:pPr>
    </w:p>
    <w:p w14:paraId="4FC424F9" w14:textId="4E767245" w:rsidR="00C62B36" w:rsidRDefault="00C62B36" w:rsidP="00CC09D4">
      <w:pPr>
        <w:pStyle w:val="ListParagraph"/>
        <w:numPr>
          <w:ilvl w:val="0"/>
          <w:numId w:val="12"/>
        </w:numPr>
        <w:tabs>
          <w:tab w:val="left" w:pos="567"/>
        </w:tabs>
        <w:ind w:hanging="720"/>
        <w:rPr>
          <w:b/>
          <w:bCs/>
          <w:caps/>
        </w:rPr>
      </w:pPr>
      <w:r w:rsidRPr="000203E1">
        <w:rPr>
          <w:b/>
          <w:bCs/>
          <w:caps/>
        </w:rPr>
        <w:lastRenderedPageBreak/>
        <w:t xml:space="preserve">Pacientų organizacijų pateikti duomenys </w:t>
      </w:r>
    </w:p>
    <w:p w14:paraId="54351841" w14:textId="77777777" w:rsidR="00C9728E" w:rsidRPr="000203E1" w:rsidRDefault="00C9728E" w:rsidP="00C9728E">
      <w:pPr>
        <w:pStyle w:val="ListParagraph"/>
        <w:tabs>
          <w:tab w:val="left" w:pos="567"/>
        </w:tabs>
        <w:rPr>
          <w:b/>
          <w:bCs/>
          <w:caps/>
        </w:rPr>
      </w:pPr>
    </w:p>
    <w:p w14:paraId="62992180" w14:textId="69655856" w:rsidR="00937907" w:rsidRPr="000203E1" w:rsidRDefault="00937907" w:rsidP="00937907">
      <w:pPr>
        <w:spacing w:after="120"/>
        <w:jc w:val="both"/>
      </w:pPr>
      <w:r w:rsidRPr="000203E1">
        <w:t xml:space="preserve">Pacientų organizacijos pozicija </w:t>
      </w:r>
      <w:r w:rsidR="00880A44" w:rsidRPr="000203E1">
        <w:t>ne</w:t>
      </w:r>
      <w:r w:rsidRPr="000203E1">
        <w:t>pateikta.</w:t>
      </w:r>
    </w:p>
    <w:p w14:paraId="03E73D82" w14:textId="77777777" w:rsidR="00D417D2" w:rsidRPr="000203E1" w:rsidRDefault="00D417D2" w:rsidP="00937907">
      <w:pPr>
        <w:spacing w:after="120"/>
        <w:jc w:val="both"/>
      </w:pPr>
    </w:p>
    <w:p w14:paraId="3D3277FA" w14:textId="09414FFF" w:rsidR="00C62B36" w:rsidRDefault="00D67BAF" w:rsidP="00CC09D4">
      <w:pPr>
        <w:pStyle w:val="ListParagraph"/>
        <w:numPr>
          <w:ilvl w:val="0"/>
          <w:numId w:val="12"/>
        </w:numPr>
        <w:tabs>
          <w:tab w:val="left" w:pos="567"/>
        </w:tabs>
        <w:ind w:hanging="720"/>
        <w:rPr>
          <w:b/>
          <w:bCs/>
          <w:caps/>
        </w:rPr>
      </w:pPr>
      <w:r w:rsidRPr="00D67BAF">
        <w:rPr>
          <w:b/>
          <w:bCs/>
          <w:caps/>
        </w:rPr>
        <w:t xml:space="preserve">SVEIKATOS PRIEŽIŪROS SPECIALISTŲ </w:t>
      </w:r>
      <w:r w:rsidR="00C62B36" w:rsidRPr="000203E1">
        <w:rPr>
          <w:b/>
          <w:bCs/>
          <w:caps/>
        </w:rPr>
        <w:t xml:space="preserve"> organizacijų pateikti duomenys</w:t>
      </w:r>
    </w:p>
    <w:p w14:paraId="044D5084" w14:textId="77777777" w:rsidR="00C9728E" w:rsidRPr="000203E1" w:rsidRDefault="00C9728E" w:rsidP="00C9728E">
      <w:pPr>
        <w:pStyle w:val="ListParagraph"/>
        <w:tabs>
          <w:tab w:val="left" w:pos="567"/>
        </w:tabs>
        <w:rPr>
          <w:b/>
          <w:bCs/>
          <w:caps/>
        </w:rPr>
      </w:pPr>
    </w:p>
    <w:p w14:paraId="389A346C" w14:textId="1B359DB8" w:rsidR="00937907" w:rsidRPr="000203E1" w:rsidRDefault="00D67BAF" w:rsidP="00662983">
      <w:pPr>
        <w:spacing w:after="120"/>
        <w:jc w:val="both"/>
      </w:pPr>
      <w:r>
        <w:t>S</w:t>
      </w:r>
      <w:r w:rsidRPr="0089345A">
        <w:rPr>
          <w:bCs/>
        </w:rPr>
        <w:t>veikatos priežiūros specialistų</w:t>
      </w:r>
      <w:r w:rsidRPr="00D67BAF">
        <w:rPr>
          <w:b/>
        </w:rPr>
        <w:t xml:space="preserve"> </w:t>
      </w:r>
      <w:r w:rsidR="00937907" w:rsidRPr="000203E1">
        <w:t xml:space="preserve">organizacijos pozicija pateikta. </w:t>
      </w:r>
      <w:r w:rsidR="00662983" w:rsidRPr="000203E1">
        <w:t>Žr. priedą</w:t>
      </w:r>
      <w:r w:rsidR="00937907" w:rsidRPr="000203E1">
        <w:t>.</w:t>
      </w:r>
    </w:p>
    <w:p w14:paraId="3701D46A" w14:textId="77777777" w:rsidR="00A042B9" w:rsidRPr="000203E1" w:rsidRDefault="00A042B9" w:rsidP="00662983">
      <w:pPr>
        <w:spacing w:after="120"/>
        <w:jc w:val="both"/>
      </w:pPr>
    </w:p>
    <w:p w14:paraId="28897565" w14:textId="77777777" w:rsidR="00DC1DA8" w:rsidRPr="00F244B1" w:rsidRDefault="002F0E4F" w:rsidP="00DC1DA8">
      <w:pPr>
        <w:jc w:val="both"/>
        <w:rPr>
          <w:lang w:val="en-US"/>
        </w:rPr>
      </w:pPr>
      <w:r w:rsidRPr="000203E1">
        <w:rPr>
          <w:b/>
          <w:bCs/>
          <w:caps/>
        </w:rPr>
        <w:t>Išvad</w:t>
      </w:r>
      <w:r w:rsidR="00B811A4">
        <w:rPr>
          <w:b/>
          <w:bCs/>
          <w:caps/>
        </w:rPr>
        <w:t>OS</w:t>
      </w:r>
      <w:r w:rsidRPr="000203E1">
        <w:rPr>
          <w:b/>
          <w:bCs/>
          <w:caps/>
        </w:rPr>
        <w:t xml:space="preserve"> </w:t>
      </w:r>
    </w:p>
    <w:tbl>
      <w:tblPr>
        <w:tblStyle w:val="TableGrid"/>
        <w:tblW w:w="0" w:type="auto"/>
        <w:tblInd w:w="-5" w:type="dxa"/>
        <w:tblLook w:val="04A0" w:firstRow="1" w:lastRow="0" w:firstColumn="1" w:lastColumn="0" w:noHBand="0" w:noVBand="1"/>
      </w:tblPr>
      <w:tblGrid>
        <w:gridCol w:w="4820"/>
        <w:gridCol w:w="4814"/>
      </w:tblGrid>
      <w:tr w:rsidR="00DC1DA8" w:rsidRPr="00603B3A" w14:paraId="345B0F17" w14:textId="77777777" w:rsidTr="001C4C5A">
        <w:trPr>
          <w:trHeight w:val="510"/>
        </w:trPr>
        <w:tc>
          <w:tcPr>
            <w:tcW w:w="9634" w:type="dxa"/>
            <w:gridSpan w:val="2"/>
            <w:vAlign w:val="center"/>
          </w:tcPr>
          <w:p w14:paraId="3C697284" w14:textId="77777777" w:rsidR="00DC1DA8" w:rsidRPr="00603B3A" w:rsidRDefault="00DC1DA8" w:rsidP="001C4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Style2"/>
                <w:rFonts w:eastAsia="MS Gothic"/>
                <w:b/>
                <w:bCs/>
                <w:sz w:val="23"/>
                <w:szCs w:val="23"/>
              </w:rPr>
            </w:pPr>
            <w:bookmarkStart w:id="2" w:name="_Hlk185430554"/>
            <w:bookmarkStart w:id="3" w:name="_Hlk186227929"/>
            <w:r w:rsidRPr="00603B3A">
              <w:rPr>
                <w:rStyle w:val="Style2"/>
                <w:rFonts w:eastAsia="MS Gothic"/>
                <w:b/>
                <w:bCs/>
                <w:sz w:val="23"/>
                <w:szCs w:val="23"/>
              </w:rPr>
              <w:t>Palyginamasis veiksmingumas</w:t>
            </w:r>
          </w:p>
        </w:tc>
      </w:tr>
      <w:tr w:rsidR="00DC1DA8" w:rsidRPr="00603B3A" w14:paraId="1C881E5F" w14:textId="77777777" w:rsidTr="001C4C5A">
        <w:tc>
          <w:tcPr>
            <w:tcW w:w="4820" w:type="dxa"/>
          </w:tcPr>
          <w:p w14:paraId="245EB6BB" w14:textId="77777777" w:rsidR="00DC1DA8" w:rsidRPr="00603B3A" w:rsidRDefault="000C32B5" w:rsidP="001C4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sdt>
              <w:sdtPr>
                <w:rPr>
                  <w:rStyle w:val="Style2"/>
                  <w:sz w:val="23"/>
                  <w:szCs w:val="23"/>
                </w:rPr>
                <w:id w:val="1397324644"/>
                <w15:color w:val="FFCC00"/>
                <w14:checkbox>
                  <w14:checked w14:val="0"/>
                  <w14:checkedState w14:val="2612" w14:font="MS Gothic"/>
                  <w14:uncheckedState w14:val="2610" w14:font="MS Gothic"/>
                </w14:checkbox>
              </w:sdtPr>
              <w:sdtEndPr>
                <w:rPr>
                  <w:rStyle w:val="Style2"/>
                </w:rPr>
              </w:sdtEndPr>
              <w:sdtContent>
                <w:r w:rsidR="00DC1DA8" w:rsidRPr="00603B3A">
                  <w:rPr>
                    <w:rStyle w:val="Style2"/>
                    <w:rFonts w:ascii="Segoe UI Symbol" w:eastAsia="MS Gothic" w:hAnsi="Segoe UI Symbol" w:cs="Segoe UI Symbol"/>
                    <w:sz w:val="23"/>
                    <w:szCs w:val="23"/>
                  </w:rPr>
                  <w:t>☐</w:t>
                </w:r>
              </w:sdtContent>
            </w:sdt>
            <w:r w:rsidR="00DC1DA8" w:rsidRPr="00603B3A">
              <w:rPr>
                <w:rStyle w:val="Style2"/>
                <w:sz w:val="23"/>
                <w:szCs w:val="23"/>
              </w:rPr>
              <w:t xml:space="preserve"> 29</w:t>
            </w:r>
            <w:r w:rsidR="00DC1DA8" w:rsidRPr="00603B3A">
              <w:rPr>
                <w:sz w:val="23"/>
                <w:szCs w:val="23"/>
              </w:rPr>
              <w:t>.1.1 yra didesnis, lyginant su įprasta klinikine praktika</w:t>
            </w:r>
          </w:p>
          <w:p w14:paraId="6094E173" w14:textId="77777777" w:rsidR="00DC1DA8" w:rsidRPr="00603B3A" w:rsidRDefault="00DC1DA8" w:rsidP="001C4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p>
          <w:p w14:paraId="4A99D77D" w14:textId="77777777" w:rsidR="00DC1DA8" w:rsidRPr="00603B3A" w:rsidRDefault="000C32B5" w:rsidP="001C4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Style2"/>
                <w:sz w:val="23"/>
                <w:szCs w:val="23"/>
              </w:rPr>
            </w:pPr>
            <w:sdt>
              <w:sdtPr>
                <w:rPr>
                  <w:rStyle w:val="Style2"/>
                  <w:sz w:val="23"/>
                  <w:szCs w:val="23"/>
                </w:rPr>
                <w:id w:val="418297090"/>
                <w15:color w:val="FFCC00"/>
                <w14:checkbox>
                  <w14:checked w14:val="1"/>
                  <w14:checkedState w14:val="2612" w14:font="MS Gothic"/>
                  <w14:uncheckedState w14:val="2610" w14:font="MS Gothic"/>
                </w14:checkbox>
              </w:sdtPr>
              <w:sdtEndPr>
                <w:rPr>
                  <w:rStyle w:val="Style2"/>
                </w:rPr>
              </w:sdtEndPr>
              <w:sdtContent>
                <w:r w:rsidR="00DC1DA8">
                  <w:rPr>
                    <w:rStyle w:val="Style2"/>
                    <w:rFonts w:ascii="MS Gothic" w:eastAsia="MS Gothic" w:hAnsi="MS Gothic" w:hint="eastAsia"/>
                    <w:sz w:val="23"/>
                    <w:szCs w:val="23"/>
                  </w:rPr>
                  <w:t>☒</w:t>
                </w:r>
              </w:sdtContent>
            </w:sdt>
            <w:r w:rsidR="00DC1DA8" w:rsidRPr="00603B3A">
              <w:rPr>
                <w:sz w:val="23"/>
                <w:szCs w:val="23"/>
              </w:rPr>
              <w:t xml:space="preserve"> </w:t>
            </w:r>
            <w:r w:rsidR="00DC1DA8" w:rsidRPr="00603B3A">
              <w:rPr>
                <w:rStyle w:val="Style2"/>
                <w:sz w:val="23"/>
                <w:szCs w:val="23"/>
              </w:rPr>
              <w:t>29</w:t>
            </w:r>
            <w:r w:rsidR="00DC1DA8" w:rsidRPr="00603B3A">
              <w:rPr>
                <w:sz w:val="23"/>
                <w:szCs w:val="23"/>
              </w:rPr>
              <w:t>.1.2 iš esmės nesiskiria, lyginant su įprasta klinikine praktika</w:t>
            </w:r>
          </w:p>
        </w:tc>
        <w:tc>
          <w:tcPr>
            <w:tcW w:w="4814" w:type="dxa"/>
          </w:tcPr>
          <w:p w14:paraId="0AECA0AB" w14:textId="77777777" w:rsidR="00DC1DA8" w:rsidRPr="00603B3A" w:rsidRDefault="000C32B5" w:rsidP="001C4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sdt>
              <w:sdtPr>
                <w:rPr>
                  <w:rStyle w:val="Style2"/>
                  <w:sz w:val="23"/>
                  <w:szCs w:val="23"/>
                </w:rPr>
                <w:id w:val="-724755596"/>
                <w15:color w:val="FFCC00"/>
                <w14:checkbox>
                  <w14:checked w14:val="0"/>
                  <w14:checkedState w14:val="2612" w14:font="MS Gothic"/>
                  <w14:uncheckedState w14:val="2610" w14:font="MS Gothic"/>
                </w14:checkbox>
              </w:sdtPr>
              <w:sdtEndPr>
                <w:rPr>
                  <w:rStyle w:val="Style2"/>
                </w:rPr>
              </w:sdtEndPr>
              <w:sdtContent>
                <w:r w:rsidR="00DC1DA8" w:rsidRPr="00603B3A">
                  <w:rPr>
                    <w:rStyle w:val="Style2"/>
                    <w:rFonts w:ascii="Segoe UI Symbol" w:eastAsia="MS Gothic" w:hAnsi="Segoe UI Symbol" w:cs="Segoe UI Symbol"/>
                    <w:sz w:val="23"/>
                    <w:szCs w:val="23"/>
                  </w:rPr>
                  <w:t>☐</w:t>
                </w:r>
              </w:sdtContent>
            </w:sdt>
            <w:r w:rsidR="00DC1DA8" w:rsidRPr="00603B3A">
              <w:rPr>
                <w:sz w:val="23"/>
                <w:szCs w:val="23"/>
              </w:rPr>
              <w:t xml:space="preserve"> </w:t>
            </w:r>
            <w:r w:rsidR="00DC1DA8" w:rsidRPr="00603B3A">
              <w:rPr>
                <w:rStyle w:val="Style2"/>
                <w:sz w:val="23"/>
                <w:szCs w:val="23"/>
              </w:rPr>
              <w:t>29</w:t>
            </w:r>
            <w:r w:rsidR="00DC1DA8" w:rsidRPr="00603B3A">
              <w:rPr>
                <w:sz w:val="23"/>
                <w:szCs w:val="23"/>
              </w:rPr>
              <w:t xml:space="preserve">.1.3 yra neįrodytas kaip didesnis  ar iš esmės nesiskiriantis, lyginant su įprasta klinikine praktika  </w:t>
            </w:r>
          </w:p>
          <w:p w14:paraId="32DC73D3" w14:textId="77777777" w:rsidR="00DC1DA8" w:rsidRPr="00603B3A" w:rsidRDefault="00DC1DA8" w:rsidP="001C4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p>
          <w:p w14:paraId="4E5425DE" w14:textId="77777777" w:rsidR="00DC1DA8" w:rsidRPr="00603B3A" w:rsidRDefault="000C32B5" w:rsidP="001C4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3"/>
                <w:szCs w:val="23"/>
              </w:rPr>
            </w:pPr>
            <w:sdt>
              <w:sdtPr>
                <w:rPr>
                  <w:rStyle w:val="Style2"/>
                  <w:sz w:val="23"/>
                  <w:szCs w:val="23"/>
                </w:rPr>
                <w:id w:val="1862168479"/>
                <w15:color w:val="FFCC00"/>
                <w14:checkbox>
                  <w14:checked w14:val="0"/>
                  <w14:checkedState w14:val="2612" w14:font="MS Gothic"/>
                  <w14:uncheckedState w14:val="2610" w14:font="MS Gothic"/>
                </w14:checkbox>
              </w:sdtPr>
              <w:sdtEndPr>
                <w:rPr>
                  <w:rStyle w:val="Style2"/>
                </w:rPr>
              </w:sdtEndPr>
              <w:sdtContent>
                <w:r w:rsidR="00DC1DA8" w:rsidRPr="00603B3A">
                  <w:rPr>
                    <w:rStyle w:val="Style2"/>
                    <w:rFonts w:ascii="Segoe UI Symbol" w:eastAsia="MS Gothic" w:hAnsi="Segoe UI Symbol" w:cs="Segoe UI Symbol"/>
                    <w:sz w:val="23"/>
                    <w:szCs w:val="23"/>
                  </w:rPr>
                  <w:t>☐</w:t>
                </w:r>
              </w:sdtContent>
            </w:sdt>
            <w:r w:rsidR="00DC1DA8" w:rsidRPr="00603B3A">
              <w:rPr>
                <w:sz w:val="23"/>
                <w:szCs w:val="23"/>
              </w:rPr>
              <w:t xml:space="preserve"> </w:t>
            </w:r>
            <w:r w:rsidR="00DC1DA8" w:rsidRPr="00603B3A">
              <w:rPr>
                <w:rStyle w:val="Style2"/>
                <w:sz w:val="23"/>
                <w:szCs w:val="23"/>
              </w:rPr>
              <w:t>29</w:t>
            </w:r>
            <w:r w:rsidR="00DC1DA8" w:rsidRPr="00603B3A">
              <w:rPr>
                <w:sz w:val="23"/>
                <w:szCs w:val="23"/>
              </w:rPr>
              <w:t>.1.4 yra mažesnis, lyginant su įprasta klinikine praktika</w:t>
            </w:r>
          </w:p>
          <w:p w14:paraId="0D3D82AE" w14:textId="77777777" w:rsidR="00DC1DA8" w:rsidRPr="00603B3A" w:rsidRDefault="00DC1DA8" w:rsidP="001C4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p>
          <w:p w14:paraId="0BCAF633" w14:textId="77777777" w:rsidR="00DC1DA8" w:rsidRPr="00603B3A" w:rsidRDefault="000C32B5" w:rsidP="001C4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sdt>
              <w:sdtPr>
                <w:rPr>
                  <w:rStyle w:val="Style2"/>
                  <w:sz w:val="23"/>
                  <w:szCs w:val="23"/>
                </w:rPr>
                <w:id w:val="-1857960180"/>
                <w15:color w:val="FFCC00"/>
                <w14:checkbox>
                  <w14:checked w14:val="1"/>
                  <w14:checkedState w14:val="2612" w14:font="MS Gothic"/>
                  <w14:uncheckedState w14:val="2610" w14:font="MS Gothic"/>
                </w14:checkbox>
              </w:sdtPr>
              <w:sdtEndPr>
                <w:rPr>
                  <w:rStyle w:val="Style2"/>
                </w:rPr>
              </w:sdtEndPr>
              <w:sdtContent>
                <w:r w:rsidR="00DC1DA8">
                  <w:rPr>
                    <w:rStyle w:val="Style2"/>
                    <w:rFonts w:ascii="MS Gothic" w:eastAsia="MS Gothic" w:hAnsi="MS Gothic" w:hint="eastAsia"/>
                    <w:sz w:val="23"/>
                    <w:szCs w:val="23"/>
                  </w:rPr>
                  <w:t>☒</w:t>
                </w:r>
              </w:sdtContent>
            </w:sdt>
            <w:r w:rsidR="00DC1DA8" w:rsidRPr="00603B3A">
              <w:rPr>
                <w:sz w:val="23"/>
                <w:szCs w:val="23"/>
              </w:rPr>
              <w:t xml:space="preserve"> </w:t>
            </w:r>
            <w:r w:rsidR="00DC1DA8" w:rsidRPr="00603B3A">
              <w:rPr>
                <w:rStyle w:val="Style2"/>
                <w:sz w:val="23"/>
                <w:szCs w:val="23"/>
              </w:rPr>
              <w:t>29</w:t>
            </w:r>
            <w:r w:rsidR="00DC1DA8" w:rsidRPr="00603B3A">
              <w:rPr>
                <w:sz w:val="23"/>
                <w:szCs w:val="23"/>
              </w:rPr>
              <w:t>.1.5 pateikti duomenys apie palyginamąjį veiksmingumą yra netinkami vertinti</w:t>
            </w:r>
          </w:p>
          <w:p w14:paraId="0453C3B8" w14:textId="77777777" w:rsidR="00DC1DA8" w:rsidRPr="00603B3A" w:rsidRDefault="00DC1DA8" w:rsidP="001C4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Style2"/>
                <w:rFonts w:eastAsia="MS Gothic"/>
                <w:sz w:val="23"/>
                <w:szCs w:val="23"/>
              </w:rPr>
            </w:pPr>
          </w:p>
        </w:tc>
      </w:tr>
      <w:bookmarkEnd w:id="2"/>
      <w:tr w:rsidR="00DC1DA8" w:rsidRPr="00603B3A" w14:paraId="3C60E6BA" w14:textId="77777777" w:rsidTr="001C4C5A">
        <w:trPr>
          <w:trHeight w:val="510"/>
        </w:trPr>
        <w:tc>
          <w:tcPr>
            <w:tcW w:w="9634" w:type="dxa"/>
            <w:gridSpan w:val="2"/>
            <w:vAlign w:val="center"/>
          </w:tcPr>
          <w:p w14:paraId="2D01E2A7" w14:textId="77777777" w:rsidR="00DC1DA8" w:rsidRPr="00603B3A" w:rsidRDefault="00DC1DA8" w:rsidP="001C4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Style2"/>
                <w:rFonts w:eastAsia="MS Gothic"/>
                <w:b/>
                <w:bCs/>
                <w:sz w:val="23"/>
                <w:szCs w:val="23"/>
              </w:rPr>
            </w:pPr>
            <w:r w:rsidRPr="00603B3A">
              <w:rPr>
                <w:rStyle w:val="Style2"/>
                <w:rFonts w:eastAsia="MS Gothic"/>
                <w:b/>
                <w:bCs/>
                <w:sz w:val="23"/>
                <w:szCs w:val="23"/>
              </w:rPr>
              <w:t>Kaštų naudingumas</w:t>
            </w:r>
          </w:p>
        </w:tc>
      </w:tr>
      <w:tr w:rsidR="00DC1DA8" w:rsidRPr="00603B3A" w14:paraId="38314876" w14:textId="77777777" w:rsidTr="001C4C5A">
        <w:tc>
          <w:tcPr>
            <w:tcW w:w="4820" w:type="dxa"/>
          </w:tcPr>
          <w:p w14:paraId="6C80410A" w14:textId="77777777" w:rsidR="00DC1DA8" w:rsidRPr="00603B3A" w:rsidRDefault="000C32B5" w:rsidP="001C4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sdt>
              <w:sdtPr>
                <w:rPr>
                  <w:rStyle w:val="Style2"/>
                  <w:sz w:val="23"/>
                  <w:szCs w:val="23"/>
                </w:rPr>
                <w:id w:val="301657889"/>
                <w15:color w:val="FFCC00"/>
                <w14:checkbox>
                  <w14:checked w14:val="0"/>
                  <w14:checkedState w14:val="2612" w14:font="MS Gothic"/>
                  <w14:uncheckedState w14:val="2610" w14:font="MS Gothic"/>
                </w14:checkbox>
              </w:sdtPr>
              <w:sdtEndPr>
                <w:rPr>
                  <w:rStyle w:val="Style2"/>
                </w:rPr>
              </w:sdtEndPr>
              <w:sdtContent>
                <w:r w:rsidR="00DC1DA8" w:rsidRPr="00603B3A">
                  <w:rPr>
                    <w:rStyle w:val="Style2"/>
                    <w:rFonts w:ascii="Segoe UI Symbol" w:eastAsia="MS Gothic" w:hAnsi="Segoe UI Symbol" w:cs="Segoe UI Symbol"/>
                    <w:sz w:val="23"/>
                    <w:szCs w:val="23"/>
                  </w:rPr>
                  <w:t>☐</w:t>
                </w:r>
              </w:sdtContent>
            </w:sdt>
            <w:r w:rsidR="00DC1DA8" w:rsidRPr="00603B3A">
              <w:rPr>
                <w:sz w:val="23"/>
                <w:szCs w:val="23"/>
              </w:rPr>
              <w:t xml:space="preserve"> 29.2.1 atitinka referencinę naudingumo vertę taikant arba netaikant</w:t>
            </w:r>
            <w:r w:rsidR="00DC1DA8" w:rsidRPr="00603B3A">
              <w:rPr>
                <w:b/>
                <w:bCs/>
                <w:sz w:val="23"/>
                <w:szCs w:val="23"/>
              </w:rPr>
              <w:t> </w:t>
            </w:r>
            <w:r w:rsidR="00DC1DA8" w:rsidRPr="00603B3A">
              <w:rPr>
                <w:sz w:val="23"/>
                <w:szCs w:val="23"/>
              </w:rPr>
              <w:t>PGS</w:t>
            </w:r>
          </w:p>
          <w:p w14:paraId="0F4C03D0" w14:textId="77777777" w:rsidR="00DC1DA8" w:rsidRPr="00603B3A" w:rsidRDefault="00DC1DA8" w:rsidP="001C4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p>
          <w:p w14:paraId="723AFAAE" w14:textId="77777777" w:rsidR="00DC1DA8" w:rsidRPr="00603B3A" w:rsidRDefault="00DC1DA8" w:rsidP="001C4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Style2"/>
                <w:rFonts w:eastAsia="MS Gothic"/>
                <w:sz w:val="23"/>
                <w:szCs w:val="23"/>
              </w:rPr>
            </w:pPr>
          </w:p>
        </w:tc>
        <w:tc>
          <w:tcPr>
            <w:tcW w:w="4814" w:type="dxa"/>
          </w:tcPr>
          <w:p w14:paraId="5BAFE749" w14:textId="77777777" w:rsidR="00DC1DA8" w:rsidRPr="00603B3A" w:rsidRDefault="000C32B5" w:rsidP="001C4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3"/>
                <w:szCs w:val="23"/>
              </w:rPr>
            </w:pPr>
            <w:sdt>
              <w:sdtPr>
                <w:rPr>
                  <w:rStyle w:val="Style2"/>
                  <w:sz w:val="23"/>
                  <w:szCs w:val="23"/>
                </w:rPr>
                <w:id w:val="791860283"/>
                <w15:color w:val="FFCC00"/>
                <w14:checkbox>
                  <w14:checked w14:val="0"/>
                  <w14:checkedState w14:val="2612" w14:font="MS Gothic"/>
                  <w14:uncheckedState w14:val="2610" w14:font="MS Gothic"/>
                </w14:checkbox>
              </w:sdtPr>
              <w:sdtEndPr>
                <w:rPr>
                  <w:rStyle w:val="Style2"/>
                </w:rPr>
              </w:sdtEndPr>
              <w:sdtContent>
                <w:r w:rsidR="00DC1DA8" w:rsidRPr="00603B3A">
                  <w:rPr>
                    <w:rStyle w:val="Style2"/>
                    <w:rFonts w:ascii="Segoe UI Symbol" w:eastAsia="MS Gothic" w:hAnsi="Segoe UI Symbol" w:cs="Segoe UI Symbol"/>
                    <w:sz w:val="23"/>
                    <w:szCs w:val="23"/>
                  </w:rPr>
                  <w:t>☐</w:t>
                </w:r>
              </w:sdtContent>
            </w:sdt>
            <w:r w:rsidR="00DC1DA8" w:rsidRPr="00603B3A">
              <w:rPr>
                <w:sz w:val="23"/>
                <w:szCs w:val="23"/>
              </w:rPr>
              <w:t xml:space="preserve"> 29.2.3 neatitinka referencinės naudingumo vertės taikant arba netaikant PGS</w:t>
            </w:r>
          </w:p>
          <w:p w14:paraId="0648C1F3" w14:textId="77777777" w:rsidR="00DC1DA8" w:rsidRPr="00603B3A" w:rsidRDefault="00DC1DA8" w:rsidP="001C4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3"/>
                <w:szCs w:val="23"/>
              </w:rPr>
            </w:pPr>
          </w:p>
          <w:p w14:paraId="3045465E" w14:textId="77777777" w:rsidR="00DC1DA8" w:rsidRPr="00603B3A" w:rsidRDefault="000C32B5" w:rsidP="001C4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3"/>
                <w:szCs w:val="23"/>
              </w:rPr>
            </w:pPr>
            <w:sdt>
              <w:sdtPr>
                <w:rPr>
                  <w:rStyle w:val="Style2"/>
                  <w:sz w:val="23"/>
                  <w:szCs w:val="23"/>
                </w:rPr>
                <w:id w:val="-943849855"/>
                <w15:color w:val="FFCC00"/>
                <w14:checkbox>
                  <w14:checked w14:val="0"/>
                  <w14:checkedState w14:val="2612" w14:font="MS Gothic"/>
                  <w14:uncheckedState w14:val="2610" w14:font="MS Gothic"/>
                </w14:checkbox>
              </w:sdtPr>
              <w:sdtEndPr>
                <w:rPr>
                  <w:rStyle w:val="Style2"/>
                </w:rPr>
              </w:sdtEndPr>
              <w:sdtContent>
                <w:r w:rsidR="00DC1DA8" w:rsidRPr="00603B3A">
                  <w:rPr>
                    <w:rStyle w:val="Style2"/>
                    <w:rFonts w:ascii="Segoe UI Symbol" w:eastAsia="MS Gothic" w:hAnsi="Segoe UI Symbol" w:cs="Segoe UI Symbol"/>
                    <w:sz w:val="23"/>
                    <w:szCs w:val="23"/>
                  </w:rPr>
                  <w:t>☐</w:t>
                </w:r>
              </w:sdtContent>
            </w:sdt>
            <w:r w:rsidR="00DC1DA8" w:rsidRPr="00603B3A">
              <w:rPr>
                <w:sz w:val="23"/>
                <w:szCs w:val="23"/>
              </w:rPr>
              <w:t xml:space="preserve"> 29.2.5 pateikti duomenys apie kaštų naudingumą yra netinkami vertinti</w:t>
            </w:r>
          </w:p>
          <w:p w14:paraId="6CA95BBD" w14:textId="77777777" w:rsidR="00DC1DA8" w:rsidRPr="00603B3A" w:rsidRDefault="00DC1DA8" w:rsidP="001C4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Style2"/>
                <w:rFonts w:eastAsia="MS Gothic"/>
                <w:sz w:val="23"/>
                <w:szCs w:val="23"/>
              </w:rPr>
            </w:pPr>
          </w:p>
        </w:tc>
      </w:tr>
      <w:tr w:rsidR="00DC1DA8" w:rsidRPr="00603B3A" w14:paraId="377F5376" w14:textId="77777777" w:rsidTr="001C4C5A">
        <w:tc>
          <w:tcPr>
            <w:tcW w:w="9634" w:type="dxa"/>
            <w:gridSpan w:val="2"/>
          </w:tcPr>
          <w:p w14:paraId="55B5B8CC" w14:textId="7C2678BD" w:rsidR="00DC1DA8" w:rsidRPr="00603B3A" w:rsidRDefault="000C32B5" w:rsidP="001C4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Style2"/>
                <w:sz w:val="23"/>
                <w:szCs w:val="23"/>
              </w:rPr>
            </w:pPr>
            <w:sdt>
              <w:sdtPr>
                <w:rPr>
                  <w:rStyle w:val="Style2"/>
                  <w:sz w:val="23"/>
                  <w:szCs w:val="23"/>
                </w:rPr>
                <w:id w:val="1266579562"/>
                <w15:color w:val="FFCC00"/>
                <w14:checkbox>
                  <w14:checked w14:val="1"/>
                  <w14:checkedState w14:val="2612" w14:font="MS Gothic"/>
                  <w14:uncheckedState w14:val="2610" w14:font="MS Gothic"/>
                </w14:checkbox>
              </w:sdtPr>
              <w:sdtEndPr>
                <w:rPr>
                  <w:rStyle w:val="Style2"/>
                </w:rPr>
              </w:sdtEndPr>
              <w:sdtContent>
                <w:r w:rsidR="00DC1DA8">
                  <w:rPr>
                    <w:rStyle w:val="Style2"/>
                    <w:rFonts w:ascii="MS Gothic" w:eastAsia="MS Gothic" w:hAnsi="MS Gothic" w:hint="eastAsia"/>
                    <w:sz w:val="23"/>
                    <w:szCs w:val="23"/>
                  </w:rPr>
                  <w:t>☒</w:t>
                </w:r>
              </w:sdtContent>
            </w:sdt>
            <w:r w:rsidR="00DC1DA8" w:rsidRPr="00385E90">
              <w:rPr>
                <w:sz w:val="23"/>
                <w:szCs w:val="23"/>
              </w:rPr>
              <w:t xml:space="preserve"> </w:t>
            </w:r>
            <w:r w:rsidR="00DC1DA8" w:rsidRPr="00385E90">
              <w:rPr>
                <w:color w:val="000000"/>
                <w:sz w:val="23"/>
                <w:szCs w:val="23"/>
              </w:rPr>
              <w:t>Vykdant Aprašo 17</w:t>
            </w:r>
            <w:r w:rsidR="00DC1DA8" w:rsidRPr="00385E90">
              <w:rPr>
                <w:color w:val="000000"/>
                <w:sz w:val="23"/>
                <w:szCs w:val="23"/>
                <w:vertAlign w:val="superscript"/>
              </w:rPr>
              <w:t>3</w:t>
            </w:r>
            <w:r w:rsidR="00DC1DA8" w:rsidRPr="00385E90">
              <w:rPr>
                <w:color w:val="000000"/>
                <w:sz w:val="23"/>
                <w:szCs w:val="23"/>
              </w:rPr>
              <w:t>.</w:t>
            </w:r>
            <w:r w:rsidR="009D6B45">
              <w:rPr>
                <w:color w:val="000000"/>
                <w:sz w:val="23"/>
                <w:szCs w:val="23"/>
              </w:rPr>
              <w:t>3</w:t>
            </w:r>
            <w:r w:rsidR="00DC1DA8">
              <w:rPr>
                <w:color w:val="000000"/>
                <w:sz w:val="23"/>
                <w:szCs w:val="23"/>
              </w:rPr>
              <w:t xml:space="preserve"> </w:t>
            </w:r>
            <w:r w:rsidR="00DC1DA8" w:rsidRPr="00385E90">
              <w:rPr>
                <w:color w:val="000000"/>
                <w:sz w:val="23"/>
                <w:szCs w:val="23"/>
              </w:rPr>
              <w:t xml:space="preserve">punktą vaistinio (-ų) preparato (-ų) ekonominis vertinimas neatliekamas, išvados dėl kaštų naudingumo neteikiamos </w:t>
            </w:r>
          </w:p>
        </w:tc>
      </w:tr>
      <w:bookmarkEnd w:id="3"/>
    </w:tbl>
    <w:p w14:paraId="2AB1982E" w14:textId="77777777" w:rsidR="00DC1DA8" w:rsidRPr="00603B3A" w:rsidRDefault="00DC1DA8" w:rsidP="00DC1DA8">
      <w:pPr>
        <w:jc w:val="both"/>
      </w:pPr>
    </w:p>
    <w:p w14:paraId="7A27ED08" w14:textId="77777777" w:rsidR="00DC1DA8" w:rsidRPr="00603B3A" w:rsidRDefault="00DC1DA8" w:rsidP="00DC1DA8">
      <w:pPr>
        <w:pStyle w:val="ListParagraph"/>
        <w:numPr>
          <w:ilvl w:val="0"/>
          <w:numId w:val="17"/>
        </w:numPr>
        <w:jc w:val="both"/>
        <w:rPr>
          <w:b/>
        </w:rPr>
      </w:pPr>
      <w:r w:rsidRPr="00603B3A">
        <w:rPr>
          <w:b/>
        </w:rPr>
        <w:t>REKOMENDACIJA</w:t>
      </w:r>
    </w:p>
    <w:p w14:paraId="68BD4151" w14:textId="77777777" w:rsidR="00DC1DA8" w:rsidRPr="00603B3A" w:rsidRDefault="00DC1DA8" w:rsidP="00DC1DA8">
      <w:pPr>
        <w:jc w:val="both"/>
        <w:rPr>
          <w:b/>
        </w:rPr>
      </w:pPr>
    </w:p>
    <w:p w14:paraId="3F7FB28B" w14:textId="77777777" w:rsidR="00DC1DA8" w:rsidRPr="005F74EC" w:rsidRDefault="00DC1DA8" w:rsidP="00DC1DA8">
      <w:pPr>
        <w:widowControl w:val="0"/>
        <w:tabs>
          <w:tab w:val="left" w:pos="1418"/>
        </w:tabs>
        <w:suppressAutoHyphens/>
        <w:spacing w:line="360" w:lineRule="atLeast"/>
        <w:jc w:val="both"/>
        <w:textAlignment w:val="center"/>
        <w:rPr>
          <w:color w:val="000000" w:themeColor="text1"/>
          <w:lang w:eastAsia="lt-LT"/>
        </w:rPr>
      </w:pPr>
      <w:r w:rsidRPr="005F74EC">
        <w:rPr>
          <w:color w:val="000000" w:themeColor="text1"/>
        </w:rPr>
        <w:t xml:space="preserve">Vadovaujantis Aprašo </w:t>
      </w:r>
      <w:r w:rsidRPr="005F74EC">
        <w:rPr>
          <w:color w:val="000000" w:themeColor="text1"/>
          <w:lang w:eastAsia="lt-LT"/>
        </w:rPr>
        <w:t>30</w:t>
      </w:r>
      <w:r w:rsidRPr="005F74EC">
        <w:rPr>
          <w:color w:val="000000" w:themeColor="text1"/>
          <w:vertAlign w:val="superscript"/>
          <w:lang w:eastAsia="lt-LT"/>
        </w:rPr>
        <w:t>1</w:t>
      </w:r>
      <w:r w:rsidRPr="005F74EC">
        <w:rPr>
          <w:color w:val="000000" w:themeColor="text1"/>
          <w:lang w:eastAsia="lt-LT"/>
        </w:rPr>
        <w:t xml:space="preserve">.5. papunkčiu rekomenduojama kompensuoti vaistinį preparatą pagal paraiškoje nurodytą indikaciją (arba jos dalį) su arba be skyrimo sąlygų, jei išvados apie įtaką PSDF biudžetui atitinka aprašo </w:t>
      </w:r>
      <w:r w:rsidRPr="005F74EC">
        <w:rPr>
          <w:color w:val="000000" w:themeColor="text1"/>
        </w:rPr>
        <w:t>54.1</w:t>
      </w:r>
      <w:r w:rsidRPr="005F74EC">
        <w:rPr>
          <w:color w:val="000000" w:themeColor="text1"/>
          <w:vertAlign w:val="superscript"/>
        </w:rPr>
        <w:t>1</w:t>
      </w:r>
      <w:r w:rsidRPr="005F74EC">
        <w:rPr>
          <w:color w:val="000000" w:themeColor="text1"/>
        </w:rPr>
        <w:t xml:space="preserve"> papunkčio nuostatas arba šio papunkčio sąlygos išpildomos pateikus naują ar atnaujintą PGS.</w:t>
      </w:r>
    </w:p>
    <w:p w14:paraId="63C2E4D6" w14:textId="77777777" w:rsidR="00DC1DA8" w:rsidRPr="009300B3" w:rsidRDefault="00DC1DA8" w:rsidP="00DC1DA8">
      <w:pPr>
        <w:shd w:val="clear" w:color="auto" w:fill="FFFFFF"/>
        <w:tabs>
          <w:tab w:val="left" w:pos="284"/>
        </w:tabs>
        <w:spacing w:line="276" w:lineRule="auto"/>
        <w:jc w:val="both"/>
        <w:rPr>
          <w:color w:val="000000"/>
          <w:lang w:eastAsia="lt-LT"/>
        </w:rPr>
      </w:pPr>
    </w:p>
    <w:p w14:paraId="46D1E0A0" w14:textId="77777777" w:rsidR="00DC1DA8" w:rsidRPr="009300B3" w:rsidRDefault="00DC1DA8" w:rsidP="00DC1DA8">
      <w:pPr>
        <w:tabs>
          <w:tab w:val="left" w:pos="426"/>
        </w:tabs>
        <w:jc w:val="both"/>
        <w:rPr>
          <w:b/>
          <w:lang w:eastAsia="lt-LT"/>
        </w:rPr>
      </w:pPr>
      <w:r w:rsidRPr="009300B3">
        <w:rPr>
          <w:b/>
          <w:lang w:eastAsia="lt-LT"/>
        </w:rPr>
        <w:t xml:space="preserve">4.1 Siūloma (-os) kompensuoti terapinės indikacijos ir skyrimo sąlygos </w:t>
      </w:r>
    </w:p>
    <w:p w14:paraId="7CA32FC4" w14:textId="77777777" w:rsidR="00DC1DA8" w:rsidRPr="009300B3" w:rsidRDefault="00DC1DA8" w:rsidP="00DC1DA8">
      <w:pPr>
        <w:tabs>
          <w:tab w:val="left" w:pos="426"/>
        </w:tabs>
        <w:jc w:val="both"/>
        <w:rPr>
          <w:b/>
          <w:lang w:eastAsia="lt-LT"/>
        </w:rPr>
      </w:pPr>
    </w:p>
    <w:p w14:paraId="1B6C63A6" w14:textId="77777777" w:rsidR="00DC1DA8" w:rsidRPr="009300B3" w:rsidRDefault="00DC1DA8" w:rsidP="00DC1DA8">
      <w:pPr>
        <w:pStyle w:val="NoSpacing"/>
        <w:jc w:val="both"/>
        <w:rPr>
          <w:rFonts w:ascii="Times New Roman" w:hAnsi="Times New Roman"/>
          <w:b/>
          <w:sz w:val="24"/>
          <w:szCs w:val="24"/>
          <w:lang w:eastAsia="lt-LT"/>
        </w:rPr>
      </w:pPr>
      <w:r w:rsidRPr="009300B3">
        <w:rPr>
          <w:rFonts w:ascii="Times New Roman" w:hAnsi="Times New Roman"/>
          <w:b/>
          <w:sz w:val="24"/>
          <w:szCs w:val="24"/>
          <w:lang w:eastAsia="lt-LT"/>
        </w:rPr>
        <w:t>Terapinės indikacijos</w:t>
      </w:r>
    </w:p>
    <w:p w14:paraId="28378B15" w14:textId="77777777" w:rsidR="00DC1DA8" w:rsidRDefault="00DC1DA8" w:rsidP="00DC1DA8">
      <w:pPr>
        <w:spacing w:line="276" w:lineRule="auto"/>
        <w:jc w:val="both"/>
      </w:pPr>
      <w:r w:rsidRPr="002D65CA">
        <w:t xml:space="preserve">Gazyvaro derinant su mikofenolato mofetiliu (MMF) skirtas gydyti suaugusiems pacientams, sergantiems aktyviu III ar IV klasės, kartu su V klasės arba be jos, vilkligės sukeltu nefritu (VN). </w:t>
      </w:r>
    </w:p>
    <w:p w14:paraId="75DF6BCF" w14:textId="77777777" w:rsidR="00DC1DA8" w:rsidRPr="009300B3" w:rsidRDefault="00DC1DA8" w:rsidP="00DC1DA8">
      <w:pPr>
        <w:pStyle w:val="NoSpacing"/>
        <w:spacing w:line="276" w:lineRule="auto"/>
        <w:jc w:val="both"/>
        <w:rPr>
          <w:rFonts w:ascii="Times New Roman" w:hAnsi="Times New Roman"/>
          <w:sz w:val="24"/>
          <w:szCs w:val="24"/>
        </w:rPr>
      </w:pPr>
    </w:p>
    <w:p w14:paraId="1737D378" w14:textId="77777777" w:rsidR="00DC1DA8" w:rsidRDefault="00DC1DA8" w:rsidP="00DC1DA8">
      <w:pPr>
        <w:pStyle w:val="NoSpacing"/>
        <w:spacing w:line="276" w:lineRule="auto"/>
        <w:jc w:val="both"/>
        <w:rPr>
          <w:rFonts w:ascii="Times New Roman" w:hAnsi="Times New Roman"/>
          <w:b/>
          <w:sz w:val="24"/>
          <w:szCs w:val="24"/>
        </w:rPr>
      </w:pPr>
      <w:r w:rsidRPr="009300B3">
        <w:rPr>
          <w:rFonts w:ascii="Times New Roman" w:hAnsi="Times New Roman"/>
          <w:b/>
          <w:sz w:val="24"/>
          <w:szCs w:val="24"/>
        </w:rPr>
        <w:t>Skyrimo sąlygos</w:t>
      </w:r>
    </w:p>
    <w:p w14:paraId="33B8DE04" w14:textId="2FB4D5CF" w:rsidR="00283E59" w:rsidRDefault="002A1975" w:rsidP="00056285">
      <w:pPr>
        <w:widowControl w:val="0"/>
        <w:tabs>
          <w:tab w:val="left" w:pos="1418"/>
        </w:tabs>
        <w:suppressAutoHyphens/>
        <w:spacing w:line="360" w:lineRule="atLeast"/>
        <w:textAlignment w:val="center"/>
      </w:pPr>
      <w:r>
        <w:t xml:space="preserve">Skiriamas </w:t>
      </w:r>
      <w:r w:rsidR="00E56FAF" w:rsidRPr="002D65CA">
        <w:t>derin</w:t>
      </w:r>
      <w:r>
        <w:t>yje</w:t>
      </w:r>
      <w:r w:rsidR="00E56FAF" w:rsidRPr="002D65CA">
        <w:t xml:space="preserve"> su mikofenolato mofetiliu suaugusiems pacientams, sergantiems aktyviu III ar </w:t>
      </w:r>
      <w:r w:rsidR="00E56FAF" w:rsidRPr="002D65CA">
        <w:lastRenderedPageBreak/>
        <w:t>IV klasės, kartu su V klasės arba be jos, vilkligės sukeltu nefritu</w:t>
      </w:r>
      <w:r w:rsidR="00E56FAF">
        <w:t>.</w:t>
      </w:r>
      <w:r w:rsidR="00E56FAF" w:rsidRPr="002D65CA">
        <w:t xml:space="preserve"> </w:t>
      </w:r>
      <w:r w:rsidR="00283E59">
        <w:rPr>
          <w:color w:val="000000"/>
          <w:lang w:eastAsia="lt-LT"/>
        </w:rPr>
        <w:t>____________________________</w:t>
      </w:r>
    </w:p>
    <w:p w14:paraId="562A1372" w14:textId="77777777" w:rsidR="00283E59" w:rsidRDefault="00283E59" w:rsidP="00283E59">
      <w:pPr>
        <w:jc w:val="both"/>
        <w:rPr>
          <w:b/>
          <w:sz w:val="20"/>
        </w:rPr>
      </w:pPr>
    </w:p>
    <w:p w14:paraId="7CDFF220" w14:textId="58191D98" w:rsidR="000723FF" w:rsidRPr="000203E1" w:rsidRDefault="000723FF" w:rsidP="00824B92">
      <w:pPr>
        <w:rPr>
          <w:b/>
        </w:rPr>
      </w:pPr>
    </w:p>
    <w:sectPr w:rsidR="000723FF" w:rsidRPr="000203E1" w:rsidSect="00063A50">
      <w:headerReference w:type="first" r:id="rId8"/>
      <w:footerReference w:type="first" r:id="rId9"/>
      <w:pgSz w:w="11907" w:h="16840" w:code="9"/>
      <w:pgMar w:top="1134" w:right="567" w:bottom="1134" w:left="1701" w:header="646" w:footer="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27455" w14:textId="77777777" w:rsidR="000C32B5" w:rsidRDefault="000C32B5">
      <w:r>
        <w:separator/>
      </w:r>
    </w:p>
  </w:endnote>
  <w:endnote w:type="continuationSeparator" w:id="0">
    <w:p w14:paraId="19785AEF" w14:textId="77777777" w:rsidR="000C32B5" w:rsidRDefault="000C3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GaramondPro-Regular">
    <w:altName w:val="MS Mincho"/>
    <w:panose1 w:val="00000000000000000000"/>
    <w:charset w:val="80"/>
    <w:family w:val="roman"/>
    <w:notTrueType/>
    <w:pitch w:val="default"/>
    <w:sig w:usb0="00000000" w:usb1="08070000" w:usb2="00000010" w:usb3="00000000" w:csb0="00020001"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D3368" w14:textId="77777777" w:rsidR="00347FAA" w:rsidRDefault="00347FAA">
    <w:pPr>
      <w:pStyle w:val="Footer"/>
      <w:jc w:val="right"/>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71A93" w14:textId="77777777" w:rsidR="000C32B5" w:rsidRDefault="000C32B5">
      <w:r>
        <w:separator/>
      </w:r>
    </w:p>
  </w:footnote>
  <w:footnote w:type="continuationSeparator" w:id="0">
    <w:p w14:paraId="7979A6A1" w14:textId="77777777" w:rsidR="000C32B5" w:rsidRDefault="000C3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E1C8F" w14:textId="77777777" w:rsidR="00347FAA" w:rsidRDefault="00347FAA" w:rsidP="00FD793C">
    <w:pPr>
      <w:pStyle w:val="Header"/>
      <w:ind w:left="612"/>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D8E"/>
    <w:multiLevelType w:val="hybridMultilevel"/>
    <w:tmpl w:val="10FAC1C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01276250"/>
    <w:multiLevelType w:val="hybridMultilevel"/>
    <w:tmpl w:val="3B6C29F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E0081E"/>
    <w:multiLevelType w:val="multilevel"/>
    <w:tmpl w:val="0427001F"/>
    <w:lvl w:ilvl="0">
      <w:start w:val="1"/>
      <w:numFmt w:val="decimal"/>
      <w:lvlText w:val="%1."/>
      <w:lvlJc w:val="left"/>
      <w:pPr>
        <w:ind w:left="360" w:hanging="360"/>
      </w:pPr>
      <w:rPr>
        <w:rFonts w:hint="default"/>
        <w:b w:val="0"/>
        <w:bCs w:val="0"/>
      </w:rPr>
    </w:lvl>
    <w:lvl w:ilvl="1">
      <w:start w:val="1"/>
      <w:numFmt w:val="decimal"/>
      <w:lvlText w:val="%1.%2."/>
      <w:lvlJc w:val="left"/>
      <w:pPr>
        <w:ind w:left="28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B56BED"/>
    <w:multiLevelType w:val="hybridMultilevel"/>
    <w:tmpl w:val="03368D8C"/>
    <w:lvl w:ilvl="0" w:tplc="02445FC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7D0D57"/>
    <w:multiLevelType w:val="hybridMultilevel"/>
    <w:tmpl w:val="C1706C0C"/>
    <w:lvl w:ilvl="0" w:tplc="18B4F424">
      <w:start w:val="4"/>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 w15:restartNumberingAfterBreak="0">
    <w:nsid w:val="12AD2E58"/>
    <w:multiLevelType w:val="hybridMultilevel"/>
    <w:tmpl w:val="F6943F7A"/>
    <w:lvl w:ilvl="0" w:tplc="AB64BC8E">
      <w:start w:val="1"/>
      <w:numFmt w:val="decimal"/>
      <w:lvlText w:val="%1."/>
      <w:lvlJc w:val="left"/>
      <w:pPr>
        <w:ind w:left="720" w:hanging="360"/>
      </w:pPr>
      <w:rPr>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A101C59"/>
    <w:multiLevelType w:val="hybridMultilevel"/>
    <w:tmpl w:val="64544F3A"/>
    <w:lvl w:ilvl="0" w:tplc="04270001">
      <w:start w:val="1"/>
      <w:numFmt w:val="bullet"/>
      <w:lvlText w:val=""/>
      <w:lvlJc w:val="left"/>
      <w:pPr>
        <w:ind w:left="2160" w:hanging="360"/>
      </w:pPr>
      <w:rPr>
        <w:rFonts w:ascii="Symbol" w:hAnsi="Symbol" w:hint="default"/>
      </w:rPr>
    </w:lvl>
    <w:lvl w:ilvl="1" w:tplc="04270003" w:tentative="1">
      <w:start w:val="1"/>
      <w:numFmt w:val="bullet"/>
      <w:lvlText w:val="o"/>
      <w:lvlJc w:val="left"/>
      <w:pPr>
        <w:ind w:left="2880" w:hanging="360"/>
      </w:pPr>
      <w:rPr>
        <w:rFonts w:ascii="Courier New" w:hAnsi="Courier New" w:cs="Courier New" w:hint="default"/>
      </w:rPr>
    </w:lvl>
    <w:lvl w:ilvl="2" w:tplc="04270005" w:tentative="1">
      <w:start w:val="1"/>
      <w:numFmt w:val="bullet"/>
      <w:lvlText w:val=""/>
      <w:lvlJc w:val="left"/>
      <w:pPr>
        <w:ind w:left="3600" w:hanging="360"/>
      </w:pPr>
      <w:rPr>
        <w:rFonts w:ascii="Wingdings" w:hAnsi="Wingdings" w:hint="default"/>
      </w:rPr>
    </w:lvl>
    <w:lvl w:ilvl="3" w:tplc="04270001" w:tentative="1">
      <w:start w:val="1"/>
      <w:numFmt w:val="bullet"/>
      <w:lvlText w:val=""/>
      <w:lvlJc w:val="left"/>
      <w:pPr>
        <w:ind w:left="4320" w:hanging="360"/>
      </w:pPr>
      <w:rPr>
        <w:rFonts w:ascii="Symbol" w:hAnsi="Symbol" w:hint="default"/>
      </w:rPr>
    </w:lvl>
    <w:lvl w:ilvl="4" w:tplc="04270003" w:tentative="1">
      <w:start w:val="1"/>
      <w:numFmt w:val="bullet"/>
      <w:lvlText w:val="o"/>
      <w:lvlJc w:val="left"/>
      <w:pPr>
        <w:ind w:left="5040" w:hanging="360"/>
      </w:pPr>
      <w:rPr>
        <w:rFonts w:ascii="Courier New" w:hAnsi="Courier New" w:cs="Courier New" w:hint="default"/>
      </w:rPr>
    </w:lvl>
    <w:lvl w:ilvl="5" w:tplc="04270005" w:tentative="1">
      <w:start w:val="1"/>
      <w:numFmt w:val="bullet"/>
      <w:lvlText w:val=""/>
      <w:lvlJc w:val="left"/>
      <w:pPr>
        <w:ind w:left="5760" w:hanging="360"/>
      </w:pPr>
      <w:rPr>
        <w:rFonts w:ascii="Wingdings" w:hAnsi="Wingdings" w:hint="default"/>
      </w:rPr>
    </w:lvl>
    <w:lvl w:ilvl="6" w:tplc="04270001" w:tentative="1">
      <w:start w:val="1"/>
      <w:numFmt w:val="bullet"/>
      <w:lvlText w:val=""/>
      <w:lvlJc w:val="left"/>
      <w:pPr>
        <w:ind w:left="6480" w:hanging="360"/>
      </w:pPr>
      <w:rPr>
        <w:rFonts w:ascii="Symbol" w:hAnsi="Symbol" w:hint="default"/>
      </w:rPr>
    </w:lvl>
    <w:lvl w:ilvl="7" w:tplc="04270003" w:tentative="1">
      <w:start w:val="1"/>
      <w:numFmt w:val="bullet"/>
      <w:lvlText w:val="o"/>
      <w:lvlJc w:val="left"/>
      <w:pPr>
        <w:ind w:left="7200" w:hanging="360"/>
      </w:pPr>
      <w:rPr>
        <w:rFonts w:ascii="Courier New" w:hAnsi="Courier New" w:cs="Courier New" w:hint="default"/>
      </w:rPr>
    </w:lvl>
    <w:lvl w:ilvl="8" w:tplc="04270005" w:tentative="1">
      <w:start w:val="1"/>
      <w:numFmt w:val="bullet"/>
      <w:lvlText w:val=""/>
      <w:lvlJc w:val="left"/>
      <w:pPr>
        <w:ind w:left="7920" w:hanging="360"/>
      </w:pPr>
      <w:rPr>
        <w:rFonts w:ascii="Wingdings" w:hAnsi="Wingdings" w:hint="default"/>
      </w:rPr>
    </w:lvl>
  </w:abstractNum>
  <w:abstractNum w:abstractNumId="7" w15:restartNumberingAfterBreak="0">
    <w:nsid w:val="1A816B09"/>
    <w:multiLevelType w:val="hybridMultilevel"/>
    <w:tmpl w:val="8FBEE17A"/>
    <w:lvl w:ilvl="0" w:tplc="0427000F">
      <w:start w:val="16"/>
      <w:numFmt w:val="decimal"/>
      <w:lvlText w:val="%1."/>
      <w:lvlJc w:val="left"/>
      <w:pPr>
        <w:ind w:left="501" w:hanging="360"/>
      </w:pPr>
      <w:rPr>
        <w:rFonts w:hint="default"/>
      </w:rPr>
    </w:lvl>
    <w:lvl w:ilvl="1" w:tplc="04270019" w:tentative="1">
      <w:start w:val="1"/>
      <w:numFmt w:val="lowerLetter"/>
      <w:lvlText w:val="%2."/>
      <w:lvlJc w:val="left"/>
      <w:pPr>
        <w:ind w:left="1581" w:hanging="360"/>
      </w:pPr>
    </w:lvl>
    <w:lvl w:ilvl="2" w:tplc="0427001B" w:tentative="1">
      <w:start w:val="1"/>
      <w:numFmt w:val="lowerRoman"/>
      <w:lvlText w:val="%3."/>
      <w:lvlJc w:val="right"/>
      <w:pPr>
        <w:ind w:left="2301" w:hanging="180"/>
      </w:pPr>
    </w:lvl>
    <w:lvl w:ilvl="3" w:tplc="0427000F" w:tentative="1">
      <w:start w:val="1"/>
      <w:numFmt w:val="decimal"/>
      <w:lvlText w:val="%4."/>
      <w:lvlJc w:val="left"/>
      <w:pPr>
        <w:ind w:left="3021" w:hanging="360"/>
      </w:pPr>
    </w:lvl>
    <w:lvl w:ilvl="4" w:tplc="04270019" w:tentative="1">
      <w:start w:val="1"/>
      <w:numFmt w:val="lowerLetter"/>
      <w:lvlText w:val="%5."/>
      <w:lvlJc w:val="left"/>
      <w:pPr>
        <w:ind w:left="3741" w:hanging="360"/>
      </w:pPr>
    </w:lvl>
    <w:lvl w:ilvl="5" w:tplc="0427001B" w:tentative="1">
      <w:start w:val="1"/>
      <w:numFmt w:val="lowerRoman"/>
      <w:lvlText w:val="%6."/>
      <w:lvlJc w:val="right"/>
      <w:pPr>
        <w:ind w:left="4461" w:hanging="180"/>
      </w:pPr>
    </w:lvl>
    <w:lvl w:ilvl="6" w:tplc="0427000F" w:tentative="1">
      <w:start w:val="1"/>
      <w:numFmt w:val="decimal"/>
      <w:lvlText w:val="%7."/>
      <w:lvlJc w:val="left"/>
      <w:pPr>
        <w:ind w:left="5181" w:hanging="360"/>
      </w:pPr>
    </w:lvl>
    <w:lvl w:ilvl="7" w:tplc="04270019" w:tentative="1">
      <w:start w:val="1"/>
      <w:numFmt w:val="lowerLetter"/>
      <w:lvlText w:val="%8."/>
      <w:lvlJc w:val="left"/>
      <w:pPr>
        <w:ind w:left="5901" w:hanging="360"/>
      </w:pPr>
    </w:lvl>
    <w:lvl w:ilvl="8" w:tplc="0427001B" w:tentative="1">
      <w:start w:val="1"/>
      <w:numFmt w:val="lowerRoman"/>
      <w:lvlText w:val="%9."/>
      <w:lvlJc w:val="right"/>
      <w:pPr>
        <w:ind w:left="6621" w:hanging="180"/>
      </w:pPr>
    </w:lvl>
  </w:abstractNum>
  <w:abstractNum w:abstractNumId="8" w15:restartNumberingAfterBreak="0">
    <w:nsid w:val="3975004F"/>
    <w:multiLevelType w:val="hybridMultilevel"/>
    <w:tmpl w:val="13E4607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9" w15:restartNumberingAfterBreak="0">
    <w:nsid w:val="3BCC4222"/>
    <w:multiLevelType w:val="multilevel"/>
    <w:tmpl w:val="C9C6278E"/>
    <w:lvl w:ilvl="0">
      <w:start w:val="2"/>
      <w:numFmt w:val="decimal"/>
      <w:lvlText w:val="%1."/>
      <w:lvlJc w:val="left"/>
      <w:pPr>
        <w:ind w:left="360" w:hanging="360"/>
      </w:pPr>
      <w:rPr>
        <w:rFonts w:eastAsia="Arial Unicode MS" w:hint="default"/>
      </w:rPr>
    </w:lvl>
    <w:lvl w:ilvl="1">
      <w:start w:val="7"/>
      <w:numFmt w:val="decimal"/>
      <w:lvlText w:val="%1.%2."/>
      <w:lvlJc w:val="left"/>
      <w:pPr>
        <w:ind w:left="720" w:hanging="360"/>
      </w:pPr>
      <w:rPr>
        <w:rFonts w:eastAsia="Arial Unicode MS" w:hint="default"/>
      </w:rPr>
    </w:lvl>
    <w:lvl w:ilvl="2">
      <w:start w:val="1"/>
      <w:numFmt w:val="decimal"/>
      <w:lvlText w:val="%1.%2.%3."/>
      <w:lvlJc w:val="left"/>
      <w:pPr>
        <w:ind w:left="1440" w:hanging="720"/>
      </w:pPr>
      <w:rPr>
        <w:rFonts w:eastAsia="Arial Unicode MS" w:hint="default"/>
      </w:rPr>
    </w:lvl>
    <w:lvl w:ilvl="3">
      <w:start w:val="1"/>
      <w:numFmt w:val="decimal"/>
      <w:lvlText w:val="%1.%2.%3.%4."/>
      <w:lvlJc w:val="left"/>
      <w:pPr>
        <w:ind w:left="1800" w:hanging="720"/>
      </w:pPr>
      <w:rPr>
        <w:rFonts w:eastAsia="Arial Unicode MS" w:hint="default"/>
      </w:rPr>
    </w:lvl>
    <w:lvl w:ilvl="4">
      <w:start w:val="1"/>
      <w:numFmt w:val="decimal"/>
      <w:lvlText w:val="%1.%2.%3.%4.%5."/>
      <w:lvlJc w:val="left"/>
      <w:pPr>
        <w:ind w:left="2520" w:hanging="1080"/>
      </w:pPr>
      <w:rPr>
        <w:rFonts w:eastAsia="Arial Unicode MS" w:hint="default"/>
      </w:rPr>
    </w:lvl>
    <w:lvl w:ilvl="5">
      <w:start w:val="1"/>
      <w:numFmt w:val="decimal"/>
      <w:lvlText w:val="%1.%2.%3.%4.%5.%6."/>
      <w:lvlJc w:val="left"/>
      <w:pPr>
        <w:ind w:left="2880" w:hanging="1080"/>
      </w:pPr>
      <w:rPr>
        <w:rFonts w:eastAsia="Arial Unicode MS" w:hint="default"/>
      </w:rPr>
    </w:lvl>
    <w:lvl w:ilvl="6">
      <w:start w:val="1"/>
      <w:numFmt w:val="decimal"/>
      <w:lvlText w:val="%1.%2.%3.%4.%5.%6.%7."/>
      <w:lvlJc w:val="left"/>
      <w:pPr>
        <w:ind w:left="3600" w:hanging="1440"/>
      </w:pPr>
      <w:rPr>
        <w:rFonts w:eastAsia="Arial Unicode MS" w:hint="default"/>
      </w:rPr>
    </w:lvl>
    <w:lvl w:ilvl="7">
      <w:start w:val="1"/>
      <w:numFmt w:val="decimal"/>
      <w:lvlText w:val="%1.%2.%3.%4.%5.%6.%7.%8."/>
      <w:lvlJc w:val="left"/>
      <w:pPr>
        <w:ind w:left="3960" w:hanging="1440"/>
      </w:pPr>
      <w:rPr>
        <w:rFonts w:eastAsia="Arial Unicode MS" w:hint="default"/>
      </w:rPr>
    </w:lvl>
    <w:lvl w:ilvl="8">
      <w:start w:val="1"/>
      <w:numFmt w:val="decimal"/>
      <w:lvlText w:val="%1.%2.%3.%4.%5.%6.%7.%8.%9."/>
      <w:lvlJc w:val="left"/>
      <w:pPr>
        <w:ind w:left="4680" w:hanging="1800"/>
      </w:pPr>
      <w:rPr>
        <w:rFonts w:eastAsia="Arial Unicode MS" w:hint="default"/>
      </w:rPr>
    </w:lvl>
  </w:abstractNum>
  <w:abstractNum w:abstractNumId="10" w15:restartNumberingAfterBreak="0">
    <w:nsid w:val="41953EAB"/>
    <w:multiLevelType w:val="hybridMultilevel"/>
    <w:tmpl w:val="D0F01B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9B0191"/>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83C1B"/>
    <w:multiLevelType w:val="multilevel"/>
    <w:tmpl w:val="5F3843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13" w15:restartNumberingAfterBreak="0">
    <w:nsid w:val="5A0D73F3"/>
    <w:multiLevelType w:val="hybridMultilevel"/>
    <w:tmpl w:val="CA9A2AC8"/>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AB27E1E"/>
    <w:multiLevelType w:val="hybridMultilevel"/>
    <w:tmpl w:val="3D568A5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D6B6F37"/>
    <w:multiLevelType w:val="hybridMultilevel"/>
    <w:tmpl w:val="28C0B01C"/>
    <w:lvl w:ilvl="0" w:tplc="4D1ED000">
      <w:start w:val="1"/>
      <w:numFmt w:val="bullet"/>
      <w:lvlText w:val="-"/>
      <w:lvlJc w:val="left"/>
      <w:pPr>
        <w:ind w:left="720" w:hanging="360"/>
      </w:pPr>
      <w:rPr>
        <w:rFonts w:ascii="Times New Roman" w:eastAsia="Arial"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72266018"/>
    <w:multiLevelType w:val="hybridMultilevel"/>
    <w:tmpl w:val="AA9C989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62414286">
    <w:abstractNumId w:val="10"/>
  </w:num>
  <w:num w:numId="2" w16cid:durableId="974027046">
    <w:abstractNumId w:val="2"/>
  </w:num>
  <w:num w:numId="3" w16cid:durableId="1473519277">
    <w:abstractNumId w:val="12"/>
  </w:num>
  <w:num w:numId="4" w16cid:durableId="1218511638">
    <w:abstractNumId w:val="11"/>
  </w:num>
  <w:num w:numId="5" w16cid:durableId="2118865422">
    <w:abstractNumId w:val="9"/>
  </w:num>
  <w:num w:numId="6" w16cid:durableId="1017005859">
    <w:abstractNumId w:val="8"/>
  </w:num>
  <w:num w:numId="7" w16cid:durableId="1576932398">
    <w:abstractNumId w:val="6"/>
  </w:num>
  <w:num w:numId="8" w16cid:durableId="369696263">
    <w:abstractNumId w:val="16"/>
  </w:num>
  <w:num w:numId="9" w16cid:durableId="2062628832">
    <w:abstractNumId w:val="0"/>
  </w:num>
  <w:num w:numId="10" w16cid:durableId="1030688407">
    <w:abstractNumId w:val="13"/>
  </w:num>
  <w:num w:numId="11" w16cid:durableId="592932888">
    <w:abstractNumId w:val="14"/>
  </w:num>
  <w:num w:numId="12" w16cid:durableId="887575004">
    <w:abstractNumId w:val="5"/>
  </w:num>
  <w:num w:numId="13" w16cid:durableId="675310411">
    <w:abstractNumId w:val="7"/>
  </w:num>
  <w:num w:numId="14" w16cid:durableId="1590772021">
    <w:abstractNumId w:val="1"/>
  </w:num>
  <w:num w:numId="15" w16cid:durableId="1838809818">
    <w:abstractNumId w:val="15"/>
  </w:num>
  <w:num w:numId="16" w16cid:durableId="451704402">
    <w:abstractNumId w:val="3"/>
  </w:num>
  <w:num w:numId="17" w16cid:durableId="12139240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0E7"/>
    <w:rsid w:val="000001B0"/>
    <w:rsid w:val="00003F5B"/>
    <w:rsid w:val="000114DD"/>
    <w:rsid w:val="000136F7"/>
    <w:rsid w:val="000203E1"/>
    <w:rsid w:val="0002686C"/>
    <w:rsid w:val="00031D0E"/>
    <w:rsid w:val="000337E6"/>
    <w:rsid w:val="0003402E"/>
    <w:rsid w:val="00034EAE"/>
    <w:rsid w:val="0003669B"/>
    <w:rsid w:val="00042924"/>
    <w:rsid w:val="000448C6"/>
    <w:rsid w:val="00052BD8"/>
    <w:rsid w:val="00053975"/>
    <w:rsid w:val="00056285"/>
    <w:rsid w:val="00057A2B"/>
    <w:rsid w:val="000606BE"/>
    <w:rsid w:val="000624FF"/>
    <w:rsid w:val="00063A50"/>
    <w:rsid w:val="00065067"/>
    <w:rsid w:val="000723FF"/>
    <w:rsid w:val="000736B8"/>
    <w:rsid w:val="0008190F"/>
    <w:rsid w:val="00081D9C"/>
    <w:rsid w:val="00082907"/>
    <w:rsid w:val="0008378D"/>
    <w:rsid w:val="000908A5"/>
    <w:rsid w:val="00092805"/>
    <w:rsid w:val="000A50C9"/>
    <w:rsid w:val="000B2B2C"/>
    <w:rsid w:val="000C32B5"/>
    <w:rsid w:val="000C454C"/>
    <w:rsid w:val="000D5038"/>
    <w:rsid w:val="000E29D4"/>
    <w:rsid w:val="000F3540"/>
    <w:rsid w:val="001002BF"/>
    <w:rsid w:val="00100491"/>
    <w:rsid w:val="00104E2E"/>
    <w:rsid w:val="00107287"/>
    <w:rsid w:val="00117194"/>
    <w:rsid w:val="00117406"/>
    <w:rsid w:val="00121EF0"/>
    <w:rsid w:val="00124A9E"/>
    <w:rsid w:val="0012653C"/>
    <w:rsid w:val="00130703"/>
    <w:rsid w:val="0013153F"/>
    <w:rsid w:val="001408B8"/>
    <w:rsid w:val="001466FE"/>
    <w:rsid w:val="001517E2"/>
    <w:rsid w:val="001521D9"/>
    <w:rsid w:val="001554E2"/>
    <w:rsid w:val="00164146"/>
    <w:rsid w:val="00164D64"/>
    <w:rsid w:val="0017242F"/>
    <w:rsid w:val="0017369C"/>
    <w:rsid w:val="00175D57"/>
    <w:rsid w:val="00180C39"/>
    <w:rsid w:val="00180D96"/>
    <w:rsid w:val="00184BD3"/>
    <w:rsid w:val="001921F3"/>
    <w:rsid w:val="001A0CAA"/>
    <w:rsid w:val="001A531B"/>
    <w:rsid w:val="001B3C5B"/>
    <w:rsid w:val="001C2FC8"/>
    <w:rsid w:val="001C6353"/>
    <w:rsid w:val="001D5B91"/>
    <w:rsid w:val="001D746F"/>
    <w:rsid w:val="001E0B2D"/>
    <w:rsid w:val="001E4BBB"/>
    <w:rsid w:val="001E6304"/>
    <w:rsid w:val="001F115E"/>
    <w:rsid w:val="00203190"/>
    <w:rsid w:val="0020381E"/>
    <w:rsid w:val="00213471"/>
    <w:rsid w:val="00215906"/>
    <w:rsid w:val="00241CD8"/>
    <w:rsid w:val="00244B09"/>
    <w:rsid w:val="002519CB"/>
    <w:rsid w:val="0025697F"/>
    <w:rsid w:val="00260258"/>
    <w:rsid w:val="0026588E"/>
    <w:rsid w:val="00272428"/>
    <w:rsid w:val="00272948"/>
    <w:rsid w:val="00283E59"/>
    <w:rsid w:val="00284A47"/>
    <w:rsid w:val="00292392"/>
    <w:rsid w:val="002946C7"/>
    <w:rsid w:val="002A1975"/>
    <w:rsid w:val="002B3CC1"/>
    <w:rsid w:val="002C0686"/>
    <w:rsid w:val="002C09E0"/>
    <w:rsid w:val="002C100E"/>
    <w:rsid w:val="002C1BB1"/>
    <w:rsid w:val="002C2786"/>
    <w:rsid w:val="002C3A10"/>
    <w:rsid w:val="002C4A90"/>
    <w:rsid w:val="002C4ED5"/>
    <w:rsid w:val="002D02EF"/>
    <w:rsid w:val="002E0702"/>
    <w:rsid w:val="002E1A83"/>
    <w:rsid w:val="002E57AD"/>
    <w:rsid w:val="002E6F80"/>
    <w:rsid w:val="002F0E4F"/>
    <w:rsid w:val="002F1053"/>
    <w:rsid w:val="00314816"/>
    <w:rsid w:val="00317B0E"/>
    <w:rsid w:val="00336238"/>
    <w:rsid w:val="00347FAA"/>
    <w:rsid w:val="0035172D"/>
    <w:rsid w:val="0036187D"/>
    <w:rsid w:val="00367EDB"/>
    <w:rsid w:val="003705F0"/>
    <w:rsid w:val="00381024"/>
    <w:rsid w:val="00386307"/>
    <w:rsid w:val="003874DE"/>
    <w:rsid w:val="00393E9F"/>
    <w:rsid w:val="0039696E"/>
    <w:rsid w:val="003B211A"/>
    <w:rsid w:val="003C141F"/>
    <w:rsid w:val="003C26A9"/>
    <w:rsid w:val="003C6B0E"/>
    <w:rsid w:val="003C7257"/>
    <w:rsid w:val="003C7E35"/>
    <w:rsid w:val="003D1E99"/>
    <w:rsid w:val="003D6208"/>
    <w:rsid w:val="00404E8A"/>
    <w:rsid w:val="0040622F"/>
    <w:rsid w:val="00413F24"/>
    <w:rsid w:val="00422853"/>
    <w:rsid w:val="00423160"/>
    <w:rsid w:val="00437623"/>
    <w:rsid w:val="00444A2B"/>
    <w:rsid w:val="00453862"/>
    <w:rsid w:val="0045469B"/>
    <w:rsid w:val="00461338"/>
    <w:rsid w:val="004677DB"/>
    <w:rsid w:val="00476256"/>
    <w:rsid w:val="0048630F"/>
    <w:rsid w:val="004947A1"/>
    <w:rsid w:val="0049482A"/>
    <w:rsid w:val="004979D3"/>
    <w:rsid w:val="004A00E7"/>
    <w:rsid w:val="004A3A61"/>
    <w:rsid w:val="004B59BA"/>
    <w:rsid w:val="004B5A03"/>
    <w:rsid w:val="004C263A"/>
    <w:rsid w:val="004C6221"/>
    <w:rsid w:val="004D48A6"/>
    <w:rsid w:val="004D70B6"/>
    <w:rsid w:val="004D7B8F"/>
    <w:rsid w:val="004E241F"/>
    <w:rsid w:val="004E6458"/>
    <w:rsid w:val="004E6E7D"/>
    <w:rsid w:val="004F1AAC"/>
    <w:rsid w:val="004F1AE2"/>
    <w:rsid w:val="004F34F0"/>
    <w:rsid w:val="004F3B2B"/>
    <w:rsid w:val="004F6050"/>
    <w:rsid w:val="005005EF"/>
    <w:rsid w:val="005123C2"/>
    <w:rsid w:val="0052144B"/>
    <w:rsid w:val="00524066"/>
    <w:rsid w:val="00526A0F"/>
    <w:rsid w:val="00534E11"/>
    <w:rsid w:val="005378D8"/>
    <w:rsid w:val="005400D9"/>
    <w:rsid w:val="005476A4"/>
    <w:rsid w:val="0055019B"/>
    <w:rsid w:val="00556E63"/>
    <w:rsid w:val="005601A4"/>
    <w:rsid w:val="00566DBB"/>
    <w:rsid w:val="00567B14"/>
    <w:rsid w:val="005767DB"/>
    <w:rsid w:val="005815E6"/>
    <w:rsid w:val="0058712F"/>
    <w:rsid w:val="005976CE"/>
    <w:rsid w:val="005A23D4"/>
    <w:rsid w:val="005A2D1E"/>
    <w:rsid w:val="005A4698"/>
    <w:rsid w:val="005A7D91"/>
    <w:rsid w:val="005B3756"/>
    <w:rsid w:val="005B5D07"/>
    <w:rsid w:val="005C0D18"/>
    <w:rsid w:val="005C493F"/>
    <w:rsid w:val="005C6BF7"/>
    <w:rsid w:val="005C71BF"/>
    <w:rsid w:val="005D002C"/>
    <w:rsid w:val="005D008A"/>
    <w:rsid w:val="005D30E1"/>
    <w:rsid w:val="005D6555"/>
    <w:rsid w:val="005D7BDF"/>
    <w:rsid w:val="005E4870"/>
    <w:rsid w:val="005F71D9"/>
    <w:rsid w:val="005F7602"/>
    <w:rsid w:val="006062BE"/>
    <w:rsid w:val="00613143"/>
    <w:rsid w:val="00613501"/>
    <w:rsid w:val="0061611B"/>
    <w:rsid w:val="006166A8"/>
    <w:rsid w:val="006174A1"/>
    <w:rsid w:val="00621D6C"/>
    <w:rsid w:val="00633B49"/>
    <w:rsid w:val="0064297F"/>
    <w:rsid w:val="00645102"/>
    <w:rsid w:val="00646CF3"/>
    <w:rsid w:val="00653D11"/>
    <w:rsid w:val="00662983"/>
    <w:rsid w:val="006669B6"/>
    <w:rsid w:val="006702E2"/>
    <w:rsid w:val="006834D3"/>
    <w:rsid w:val="00692625"/>
    <w:rsid w:val="006927E9"/>
    <w:rsid w:val="00695CD3"/>
    <w:rsid w:val="006A38B6"/>
    <w:rsid w:val="006B1987"/>
    <w:rsid w:val="006B5B71"/>
    <w:rsid w:val="006B5D3E"/>
    <w:rsid w:val="006B6CB0"/>
    <w:rsid w:val="006C2B64"/>
    <w:rsid w:val="006D1BF3"/>
    <w:rsid w:val="006D4C85"/>
    <w:rsid w:val="006D66AC"/>
    <w:rsid w:val="006E33F6"/>
    <w:rsid w:val="006F1251"/>
    <w:rsid w:val="006F1C23"/>
    <w:rsid w:val="00702C18"/>
    <w:rsid w:val="00703166"/>
    <w:rsid w:val="007111C4"/>
    <w:rsid w:val="007127F3"/>
    <w:rsid w:val="007301CF"/>
    <w:rsid w:val="007316FB"/>
    <w:rsid w:val="00737E2D"/>
    <w:rsid w:val="007424D5"/>
    <w:rsid w:val="00745C63"/>
    <w:rsid w:val="00750A88"/>
    <w:rsid w:val="007523DD"/>
    <w:rsid w:val="00753EC2"/>
    <w:rsid w:val="00757B7E"/>
    <w:rsid w:val="007656B2"/>
    <w:rsid w:val="0077016F"/>
    <w:rsid w:val="007713AD"/>
    <w:rsid w:val="00795DC5"/>
    <w:rsid w:val="00797153"/>
    <w:rsid w:val="007A21F7"/>
    <w:rsid w:val="007A2B68"/>
    <w:rsid w:val="007B0DDA"/>
    <w:rsid w:val="007D3347"/>
    <w:rsid w:val="007D654E"/>
    <w:rsid w:val="007E5466"/>
    <w:rsid w:val="007F1949"/>
    <w:rsid w:val="007F2592"/>
    <w:rsid w:val="00800A08"/>
    <w:rsid w:val="00817A84"/>
    <w:rsid w:val="008225A4"/>
    <w:rsid w:val="00824B92"/>
    <w:rsid w:val="00826D5E"/>
    <w:rsid w:val="00832013"/>
    <w:rsid w:val="00832DB7"/>
    <w:rsid w:val="00834732"/>
    <w:rsid w:val="0085200C"/>
    <w:rsid w:val="00857C52"/>
    <w:rsid w:val="00860D5F"/>
    <w:rsid w:val="0087188A"/>
    <w:rsid w:val="00880A44"/>
    <w:rsid w:val="0088345E"/>
    <w:rsid w:val="0088656F"/>
    <w:rsid w:val="008875BC"/>
    <w:rsid w:val="00891EF6"/>
    <w:rsid w:val="00892FF4"/>
    <w:rsid w:val="0089345A"/>
    <w:rsid w:val="008A0303"/>
    <w:rsid w:val="008A5FDD"/>
    <w:rsid w:val="008B067D"/>
    <w:rsid w:val="008C3947"/>
    <w:rsid w:val="008E473B"/>
    <w:rsid w:val="008E51A6"/>
    <w:rsid w:val="008E7329"/>
    <w:rsid w:val="008F2ED5"/>
    <w:rsid w:val="0092297E"/>
    <w:rsid w:val="00923292"/>
    <w:rsid w:val="00923651"/>
    <w:rsid w:val="00924DF7"/>
    <w:rsid w:val="00926DB6"/>
    <w:rsid w:val="00927B56"/>
    <w:rsid w:val="009341BF"/>
    <w:rsid w:val="00937907"/>
    <w:rsid w:val="00941739"/>
    <w:rsid w:val="00951573"/>
    <w:rsid w:val="00963003"/>
    <w:rsid w:val="009650D4"/>
    <w:rsid w:val="00965919"/>
    <w:rsid w:val="00966EEF"/>
    <w:rsid w:val="00971B28"/>
    <w:rsid w:val="00980833"/>
    <w:rsid w:val="00983471"/>
    <w:rsid w:val="009909AB"/>
    <w:rsid w:val="009B37DB"/>
    <w:rsid w:val="009C7A8C"/>
    <w:rsid w:val="009D23F9"/>
    <w:rsid w:val="009D4FA8"/>
    <w:rsid w:val="009D6B45"/>
    <w:rsid w:val="009E44AE"/>
    <w:rsid w:val="009E6CD6"/>
    <w:rsid w:val="009F4D66"/>
    <w:rsid w:val="009F4F28"/>
    <w:rsid w:val="00A00C3C"/>
    <w:rsid w:val="00A01091"/>
    <w:rsid w:val="00A042B9"/>
    <w:rsid w:val="00A06DBB"/>
    <w:rsid w:val="00A22ADF"/>
    <w:rsid w:val="00A2310D"/>
    <w:rsid w:val="00A254A2"/>
    <w:rsid w:val="00A31E86"/>
    <w:rsid w:val="00A54D87"/>
    <w:rsid w:val="00A5553C"/>
    <w:rsid w:val="00A701C9"/>
    <w:rsid w:val="00A81785"/>
    <w:rsid w:val="00A84803"/>
    <w:rsid w:val="00A84C51"/>
    <w:rsid w:val="00A86F2B"/>
    <w:rsid w:val="00A91366"/>
    <w:rsid w:val="00A92F91"/>
    <w:rsid w:val="00A93AA6"/>
    <w:rsid w:val="00AA4E48"/>
    <w:rsid w:val="00AA6202"/>
    <w:rsid w:val="00AA7B57"/>
    <w:rsid w:val="00AB2806"/>
    <w:rsid w:val="00AB2D54"/>
    <w:rsid w:val="00AC26FC"/>
    <w:rsid w:val="00AC4A99"/>
    <w:rsid w:val="00AC5129"/>
    <w:rsid w:val="00AC64D2"/>
    <w:rsid w:val="00AD02E7"/>
    <w:rsid w:val="00AE0FE8"/>
    <w:rsid w:val="00AF4FCC"/>
    <w:rsid w:val="00AF60D5"/>
    <w:rsid w:val="00B00959"/>
    <w:rsid w:val="00B04415"/>
    <w:rsid w:val="00B06509"/>
    <w:rsid w:val="00B10234"/>
    <w:rsid w:val="00B11D60"/>
    <w:rsid w:val="00B13D65"/>
    <w:rsid w:val="00B21805"/>
    <w:rsid w:val="00B3072E"/>
    <w:rsid w:val="00B36E15"/>
    <w:rsid w:val="00B37245"/>
    <w:rsid w:val="00B4017A"/>
    <w:rsid w:val="00B4468D"/>
    <w:rsid w:val="00B71C72"/>
    <w:rsid w:val="00B71F04"/>
    <w:rsid w:val="00B74A62"/>
    <w:rsid w:val="00B811A4"/>
    <w:rsid w:val="00B81E92"/>
    <w:rsid w:val="00B908D7"/>
    <w:rsid w:val="00B935E8"/>
    <w:rsid w:val="00B93B30"/>
    <w:rsid w:val="00B94CB5"/>
    <w:rsid w:val="00BA0DD9"/>
    <w:rsid w:val="00BA36CC"/>
    <w:rsid w:val="00BA5DBC"/>
    <w:rsid w:val="00BA6584"/>
    <w:rsid w:val="00BB6312"/>
    <w:rsid w:val="00BC39C2"/>
    <w:rsid w:val="00BC4D06"/>
    <w:rsid w:val="00BD05E1"/>
    <w:rsid w:val="00BD585E"/>
    <w:rsid w:val="00BD6919"/>
    <w:rsid w:val="00BE1EA7"/>
    <w:rsid w:val="00BE7489"/>
    <w:rsid w:val="00BF2E0D"/>
    <w:rsid w:val="00BF3927"/>
    <w:rsid w:val="00BF3F8B"/>
    <w:rsid w:val="00BF76DA"/>
    <w:rsid w:val="00C00CDB"/>
    <w:rsid w:val="00C07C7B"/>
    <w:rsid w:val="00C16245"/>
    <w:rsid w:val="00C22DC5"/>
    <w:rsid w:val="00C24479"/>
    <w:rsid w:val="00C273F2"/>
    <w:rsid w:val="00C37B53"/>
    <w:rsid w:val="00C434EB"/>
    <w:rsid w:val="00C517D2"/>
    <w:rsid w:val="00C5772E"/>
    <w:rsid w:val="00C62B36"/>
    <w:rsid w:val="00C7012C"/>
    <w:rsid w:val="00C712EA"/>
    <w:rsid w:val="00C948D6"/>
    <w:rsid w:val="00C9728E"/>
    <w:rsid w:val="00CA217D"/>
    <w:rsid w:val="00CA3131"/>
    <w:rsid w:val="00CC09D4"/>
    <w:rsid w:val="00CC4F5F"/>
    <w:rsid w:val="00CC668D"/>
    <w:rsid w:val="00CC7832"/>
    <w:rsid w:val="00CD488E"/>
    <w:rsid w:val="00CE4B0B"/>
    <w:rsid w:val="00CF0C1C"/>
    <w:rsid w:val="00CF27FD"/>
    <w:rsid w:val="00CF5F12"/>
    <w:rsid w:val="00D00D8F"/>
    <w:rsid w:val="00D12869"/>
    <w:rsid w:val="00D14512"/>
    <w:rsid w:val="00D15ED6"/>
    <w:rsid w:val="00D21F3A"/>
    <w:rsid w:val="00D23808"/>
    <w:rsid w:val="00D3016A"/>
    <w:rsid w:val="00D31B93"/>
    <w:rsid w:val="00D417D2"/>
    <w:rsid w:val="00D42960"/>
    <w:rsid w:val="00D43BD7"/>
    <w:rsid w:val="00D4485B"/>
    <w:rsid w:val="00D46CCD"/>
    <w:rsid w:val="00D4708D"/>
    <w:rsid w:val="00D4744C"/>
    <w:rsid w:val="00D51046"/>
    <w:rsid w:val="00D521DE"/>
    <w:rsid w:val="00D5470B"/>
    <w:rsid w:val="00D63068"/>
    <w:rsid w:val="00D6498C"/>
    <w:rsid w:val="00D67BAF"/>
    <w:rsid w:val="00D76A70"/>
    <w:rsid w:val="00D83182"/>
    <w:rsid w:val="00D8521E"/>
    <w:rsid w:val="00D9291C"/>
    <w:rsid w:val="00D9331A"/>
    <w:rsid w:val="00D93A97"/>
    <w:rsid w:val="00DA5348"/>
    <w:rsid w:val="00DA5602"/>
    <w:rsid w:val="00DB1F64"/>
    <w:rsid w:val="00DB6EBC"/>
    <w:rsid w:val="00DC1DA8"/>
    <w:rsid w:val="00DC261A"/>
    <w:rsid w:val="00DC2F53"/>
    <w:rsid w:val="00DC5BAC"/>
    <w:rsid w:val="00DC6816"/>
    <w:rsid w:val="00DC76C2"/>
    <w:rsid w:val="00DD0C28"/>
    <w:rsid w:val="00DD1CF2"/>
    <w:rsid w:val="00DE4484"/>
    <w:rsid w:val="00DF41B7"/>
    <w:rsid w:val="00DF4A4A"/>
    <w:rsid w:val="00DF583C"/>
    <w:rsid w:val="00E03C3F"/>
    <w:rsid w:val="00E06FD7"/>
    <w:rsid w:val="00E07417"/>
    <w:rsid w:val="00E24D45"/>
    <w:rsid w:val="00E33DB8"/>
    <w:rsid w:val="00E33EFF"/>
    <w:rsid w:val="00E34387"/>
    <w:rsid w:val="00E348BA"/>
    <w:rsid w:val="00E362BA"/>
    <w:rsid w:val="00E369FE"/>
    <w:rsid w:val="00E37C6F"/>
    <w:rsid w:val="00E475F8"/>
    <w:rsid w:val="00E5102E"/>
    <w:rsid w:val="00E56FAF"/>
    <w:rsid w:val="00E5721C"/>
    <w:rsid w:val="00E619C6"/>
    <w:rsid w:val="00E637A8"/>
    <w:rsid w:val="00E70CED"/>
    <w:rsid w:val="00E745A1"/>
    <w:rsid w:val="00E81529"/>
    <w:rsid w:val="00E83A13"/>
    <w:rsid w:val="00EA6D96"/>
    <w:rsid w:val="00EB1151"/>
    <w:rsid w:val="00EB6FC5"/>
    <w:rsid w:val="00EC2356"/>
    <w:rsid w:val="00EC2582"/>
    <w:rsid w:val="00EC337C"/>
    <w:rsid w:val="00ED0CFF"/>
    <w:rsid w:val="00ED31D2"/>
    <w:rsid w:val="00EE0EAC"/>
    <w:rsid w:val="00EE3322"/>
    <w:rsid w:val="00EE33CB"/>
    <w:rsid w:val="00F0061A"/>
    <w:rsid w:val="00F02834"/>
    <w:rsid w:val="00F04EEB"/>
    <w:rsid w:val="00F05467"/>
    <w:rsid w:val="00F055D2"/>
    <w:rsid w:val="00F07CD7"/>
    <w:rsid w:val="00F127E9"/>
    <w:rsid w:val="00F14477"/>
    <w:rsid w:val="00F14B5D"/>
    <w:rsid w:val="00F259FC"/>
    <w:rsid w:val="00F313F4"/>
    <w:rsid w:val="00F36972"/>
    <w:rsid w:val="00F42426"/>
    <w:rsid w:val="00F44F01"/>
    <w:rsid w:val="00F456BC"/>
    <w:rsid w:val="00F50666"/>
    <w:rsid w:val="00F70731"/>
    <w:rsid w:val="00F70C9E"/>
    <w:rsid w:val="00F74A74"/>
    <w:rsid w:val="00F7572C"/>
    <w:rsid w:val="00F8382C"/>
    <w:rsid w:val="00F855D7"/>
    <w:rsid w:val="00F92035"/>
    <w:rsid w:val="00F92748"/>
    <w:rsid w:val="00FA4169"/>
    <w:rsid w:val="00FB0D41"/>
    <w:rsid w:val="00FB2030"/>
    <w:rsid w:val="00FD0E46"/>
    <w:rsid w:val="00FD1060"/>
    <w:rsid w:val="00FD1CF2"/>
    <w:rsid w:val="00FD3EDF"/>
    <w:rsid w:val="00FD793C"/>
    <w:rsid w:val="00FE0FD5"/>
    <w:rsid w:val="00FE20E6"/>
    <w:rsid w:val="00FE3E3B"/>
    <w:rsid w:val="00FE5878"/>
    <w:rsid w:val="00FF2E6F"/>
    <w:rsid w:val="00FF4032"/>
    <w:rsid w:val="00FF4A2E"/>
    <w:rsid w:val="00FF6469"/>
    <w:rsid w:val="00FF7E4A"/>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FE6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1529"/>
    <w:rPr>
      <w:sz w:val="24"/>
      <w:szCs w:val="24"/>
      <w:lang w:eastAsia="en-US"/>
    </w:rPr>
  </w:style>
  <w:style w:type="paragraph" w:styleId="Heading1">
    <w:name w:val="heading 1"/>
    <w:basedOn w:val="Normal"/>
    <w:next w:val="Normal"/>
    <w:qFormat/>
    <w:rsid w:val="00A84C51"/>
    <w:pPr>
      <w:keepNext/>
      <w:jc w:val="center"/>
      <w:outlineLvl w:val="0"/>
    </w:pPr>
    <w:rPr>
      <w:b/>
      <w:bCs/>
      <w:caps/>
    </w:rPr>
  </w:style>
  <w:style w:type="paragraph" w:styleId="Heading2">
    <w:name w:val="heading 2"/>
    <w:basedOn w:val="Normal"/>
    <w:next w:val="Normal"/>
    <w:qFormat/>
    <w:rsid w:val="00A84C51"/>
    <w:pPr>
      <w:keepNext/>
      <w:jc w:val="center"/>
      <w:outlineLvl w:val="1"/>
    </w:pPr>
    <w:rPr>
      <w:b/>
      <w:bCs/>
      <w: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84C51"/>
    <w:pPr>
      <w:tabs>
        <w:tab w:val="center" w:pos="4986"/>
        <w:tab w:val="right" w:pos="9972"/>
      </w:tabs>
    </w:pPr>
  </w:style>
  <w:style w:type="paragraph" w:styleId="Footer">
    <w:name w:val="footer"/>
    <w:basedOn w:val="Normal"/>
    <w:link w:val="FooterChar"/>
    <w:rsid w:val="00A84C51"/>
    <w:pPr>
      <w:tabs>
        <w:tab w:val="center" w:pos="4986"/>
        <w:tab w:val="right" w:pos="9972"/>
      </w:tabs>
    </w:pPr>
  </w:style>
  <w:style w:type="character" w:styleId="PageNumber">
    <w:name w:val="page number"/>
    <w:basedOn w:val="DefaultParagraphFont"/>
    <w:rsid w:val="00A84C51"/>
  </w:style>
  <w:style w:type="character" w:styleId="Hyperlink">
    <w:name w:val="Hyperlink"/>
    <w:basedOn w:val="DefaultParagraphFont"/>
    <w:rsid w:val="00A84C51"/>
    <w:rPr>
      <w:color w:val="0000FF"/>
      <w:u w:val="single"/>
    </w:rPr>
  </w:style>
  <w:style w:type="paragraph" w:styleId="BalloonText">
    <w:name w:val="Balloon Text"/>
    <w:basedOn w:val="Normal"/>
    <w:semiHidden/>
    <w:rsid w:val="00EC2356"/>
    <w:rPr>
      <w:rFonts w:ascii="Tahoma" w:hAnsi="Tahoma" w:cs="Tahoma"/>
      <w:sz w:val="16"/>
      <w:szCs w:val="16"/>
    </w:rPr>
  </w:style>
  <w:style w:type="character" w:customStyle="1" w:styleId="FooterChar">
    <w:name w:val="Footer Char"/>
    <w:basedOn w:val="DefaultParagraphFont"/>
    <w:link w:val="Footer"/>
    <w:rsid w:val="00737E2D"/>
    <w:rPr>
      <w:sz w:val="24"/>
      <w:szCs w:val="24"/>
      <w:lang w:eastAsia="en-US"/>
    </w:rPr>
  </w:style>
  <w:style w:type="character" w:customStyle="1" w:styleId="Neapdorotaspaminjimas1">
    <w:name w:val="Neapdorotas paminėjimas1"/>
    <w:basedOn w:val="DefaultParagraphFont"/>
    <w:uiPriority w:val="99"/>
    <w:semiHidden/>
    <w:unhideWhenUsed/>
    <w:rsid w:val="00A31E86"/>
    <w:rPr>
      <w:color w:val="605E5C"/>
      <w:shd w:val="clear" w:color="auto" w:fill="E1DFDD"/>
    </w:rPr>
  </w:style>
  <w:style w:type="character" w:styleId="FollowedHyperlink">
    <w:name w:val="FollowedHyperlink"/>
    <w:basedOn w:val="DefaultParagraphFont"/>
    <w:semiHidden/>
    <w:unhideWhenUsed/>
    <w:rsid w:val="00A31E86"/>
    <w:rPr>
      <w:color w:val="800080" w:themeColor="followedHyperlink"/>
      <w:u w:val="single"/>
    </w:rPr>
  </w:style>
  <w:style w:type="table" w:styleId="TableGrid">
    <w:name w:val="Table Grid"/>
    <w:aliases w:val="Dossier table,Section 3- footnotes,Summary box"/>
    <w:basedOn w:val="TableNormal"/>
    <w:rsid w:val="00D429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C7012C"/>
    <w:rPr>
      <w:sz w:val="16"/>
      <w:szCs w:val="16"/>
    </w:rPr>
  </w:style>
  <w:style w:type="paragraph" w:styleId="CommentText">
    <w:name w:val="annotation text"/>
    <w:basedOn w:val="Normal"/>
    <w:link w:val="CommentTextChar"/>
    <w:unhideWhenUsed/>
    <w:rsid w:val="00C7012C"/>
    <w:rPr>
      <w:sz w:val="20"/>
      <w:szCs w:val="20"/>
    </w:rPr>
  </w:style>
  <w:style w:type="character" w:customStyle="1" w:styleId="CommentTextChar">
    <w:name w:val="Comment Text Char"/>
    <w:basedOn w:val="DefaultParagraphFont"/>
    <w:link w:val="CommentText"/>
    <w:rsid w:val="00C7012C"/>
    <w:rPr>
      <w:lang w:eastAsia="en-US"/>
    </w:rPr>
  </w:style>
  <w:style w:type="paragraph" w:styleId="CommentSubject">
    <w:name w:val="annotation subject"/>
    <w:basedOn w:val="CommentText"/>
    <w:next w:val="CommentText"/>
    <w:link w:val="CommentSubjectChar"/>
    <w:semiHidden/>
    <w:unhideWhenUsed/>
    <w:rsid w:val="00C7012C"/>
    <w:rPr>
      <w:b/>
      <w:bCs/>
    </w:rPr>
  </w:style>
  <w:style w:type="character" w:customStyle="1" w:styleId="CommentSubjectChar">
    <w:name w:val="Comment Subject Char"/>
    <w:basedOn w:val="CommentTextChar"/>
    <w:link w:val="CommentSubject"/>
    <w:semiHidden/>
    <w:rsid w:val="00C7012C"/>
    <w:rPr>
      <w:b/>
      <w:bCs/>
      <w:lang w:eastAsia="en-US"/>
    </w:rPr>
  </w:style>
  <w:style w:type="paragraph" w:styleId="ListParagraph">
    <w:name w:val="List Paragraph"/>
    <w:aliases w:val="Bullet 1,Bullet1,List Paragraph CCT minutes,Bullet List,Section 5,Bullets Points,1. Bullet Blank,Bulleted - 2,Dairy Paragraphe,Table Header Row,Bullet Paragraph,Bullet Point,Table Legend,Use Case List Paragraph,List Paragraph1"/>
    <w:basedOn w:val="Normal"/>
    <w:link w:val="ListParagraphChar"/>
    <w:uiPriority w:val="34"/>
    <w:qFormat/>
    <w:rsid w:val="00104E2E"/>
    <w:pPr>
      <w:ind w:left="720"/>
      <w:contextualSpacing/>
    </w:pPr>
  </w:style>
  <w:style w:type="character" w:customStyle="1" w:styleId="Style2">
    <w:name w:val="Style2"/>
    <w:basedOn w:val="DefaultParagraphFont"/>
    <w:uiPriority w:val="1"/>
    <w:rsid w:val="00D6498C"/>
    <w:rPr>
      <w:sz w:val="32"/>
    </w:rPr>
  </w:style>
  <w:style w:type="character" w:styleId="PlaceholderText">
    <w:name w:val="Placeholder Text"/>
    <w:basedOn w:val="DefaultParagraphFont"/>
    <w:uiPriority w:val="99"/>
    <w:rsid w:val="00B13D65"/>
    <w:rPr>
      <w:color w:val="808080"/>
    </w:rPr>
  </w:style>
  <w:style w:type="paragraph" w:styleId="NoSpacing">
    <w:name w:val="No Spacing"/>
    <w:uiPriority w:val="1"/>
    <w:qFormat/>
    <w:rsid w:val="00B13D65"/>
    <w:rPr>
      <w:rFonts w:ascii="Calibri" w:eastAsia="Calibri" w:hAnsi="Calibri"/>
      <w:sz w:val="22"/>
      <w:szCs w:val="22"/>
      <w:lang w:eastAsia="en-US"/>
    </w:rPr>
  </w:style>
  <w:style w:type="table" w:customStyle="1" w:styleId="Lentelstinklelis1">
    <w:name w:val="Lentelės tinklelis1"/>
    <w:basedOn w:val="TableNormal"/>
    <w:next w:val="TableGrid"/>
    <w:rsid w:val="009E44AE"/>
    <w:rPr>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76256"/>
    <w:rPr>
      <w:sz w:val="24"/>
      <w:szCs w:val="24"/>
      <w:lang w:eastAsia="en-US"/>
    </w:rPr>
  </w:style>
  <w:style w:type="character" w:customStyle="1" w:styleId="ListParagraphChar">
    <w:name w:val="List Paragraph Char"/>
    <w:aliases w:val="Bullet 1 Char,Bullet1 Char,List Paragraph CCT minutes Char,Bullet List Char,Section 5 Char,Bullets Points Char,1. Bullet Blank Char,Bulleted - 2 Char,Dairy Paragraphe Char,Table Header Row Char,Bullet Paragraph Char,Bullet Point Char"/>
    <w:link w:val="ListParagraph"/>
    <w:uiPriority w:val="34"/>
    <w:qFormat/>
    <w:locked/>
    <w:rsid w:val="0012653C"/>
    <w:rPr>
      <w:sz w:val="24"/>
      <w:szCs w:val="24"/>
      <w:lang w:eastAsia="en-US"/>
    </w:rPr>
  </w:style>
  <w:style w:type="paragraph" w:customStyle="1" w:styleId="0TEXT">
    <w:name w:val="0: TEXT"/>
    <w:basedOn w:val="Normal"/>
    <w:link w:val="0TEXTChar"/>
    <w:qFormat/>
    <w:rsid w:val="009650D4"/>
    <w:pPr>
      <w:spacing w:before="240"/>
      <w:ind w:firstLine="567"/>
      <w:jc w:val="both"/>
    </w:pPr>
    <w:rPr>
      <w:rFonts w:eastAsiaTheme="minorHAnsi"/>
      <w:bCs/>
      <w:color w:val="000000"/>
      <w:lang w:val="en-GB"/>
    </w:rPr>
  </w:style>
  <w:style w:type="character" w:customStyle="1" w:styleId="0TEXTChar">
    <w:name w:val="0: TEXT Char"/>
    <w:basedOn w:val="DefaultParagraphFont"/>
    <w:link w:val="0TEXT"/>
    <w:rsid w:val="009650D4"/>
    <w:rPr>
      <w:rFonts w:eastAsiaTheme="minorHAnsi"/>
      <w:bCs/>
      <w:color w:val="000000"/>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802146">
      <w:bodyDiv w:val="1"/>
      <w:marLeft w:val="0"/>
      <w:marRight w:val="0"/>
      <w:marTop w:val="0"/>
      <w:marBottom w:val="0"/>
      <w:divBdr>
        <w:top w:val="none" w:sz="0" w:space="0" w:color="auto"/>
        <w:left w:val="none" w:sz="0" w:space="0" w:color="auto"/>
        <w:bottom w:val="none" w:sz="0" w:space="0" w:color="auto"/>
        <w:right w:val="none" w:sz="0" w:space="0" w:color="auto"/>
      </w:divBdr>
    </w:div>
    <w:div w:id="159778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6D2C4AE1264BF6957D8F78B9AA5E9B"/>
        <w:category>
          <w:name w:val="General"/>
          <w:gallery w:val="placeholder"/>
        </w:category>
        <w:types>
          <w:type w:val="bbPlcHdr"/>
        </w:types>
        <w:behaviors>
          <w:behavior w:val="content"/>
        </w:behaviors>
        <w:guid w:val="{D4A9BFE8-D4D9-44DA-8B42-2C82E20D01D8}"/>
      </w:docPartPr>
      <w:docPartBody>
        <w:p w:rsidR="00797904" w:rsidRDefault="00E25590" w:rsidP="00E25590">
          <w:pPr>
            <w:pStyle w:val="E86D2C4AE1264BF6957D8F78B9AA5E9B"/>
          </w:pPr>
          <w:r>
            <w:rPr>
              <w:rStyle w:val="PlaceholderText"/>
            </w:rPr>
            <w:t>Click here to enter a date.</w:t>
          </w:r>
        </w:p>
      </w:docPartBody>
    </w:docPart>
    <w:docPart>
      <w:docPartPr>
        <w:name w:val="513A4359071D4252B4EF5DC2381D0B74"/>
        <w:category>
          <w:name w:val="General"/>
          <w:gallery w:val="placeholder"/>
        </w:category>
        <w:types>
          <w:type w:val="bbPlcHdr"/>
        </w:types>
        <w:behaviors>
          <w:behavior w:val="content"/>
        </w:behaviors>
        <w:guid w:val="{A338EC3A-A009-4D59-B9C3-AC0511287A60}"/>
      </w:docPartPr>
      <w:docPartBody>
        <w:p w:rsidR="00797904" w:rsidRDefault="00E25590" w:rsidP="00E25590">
          <w:pPr>
            <w:pStyle w:val="513A4359071D4252B4EF5DC2381D0B74"/>
          </w:pPr>
          <w:r>
            <w:rPr>
              <w:rStyle w:val="PlaceholderText"/>
            </w:rPr>
            <w:t>Click here to enter a date.</w:t>
          </w:r>
        </w:p>
      </w:docPartBody>
    </w:docPart>
    <w:docPart>
      <w:docPartPr>
        <w:name w:val="1F2C1083C408453EB47FAD23A144EFC9"/>
        <w:category>
          <w:name w:val="General"/>
          <w:gallery w:val="placeholder"/>
        </w:category>
        <w:types>
          <w:type w:val="bbPlcHdr"/>
        </w:types>
        <w:behaviors>
          <w:behavior w:val="content"/>
        </w:behaviors>
        <w:guid w:val="{A76D6F76-AD34-4612-A347-D535EC21FBE5}"/>
      </w:docPartPr>
      <w:docPartBody>
        <w:p w:rsidR="00797904" w:rsidRDefault="00E25590" w:rsidP="00E25590">
          <w:pPr>
            <w:pStyle w:val="1F2C1083C408453EB47FAD23A144EFC9"/>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GaramondPro-Regular">
    <w:altName w:val="MS Mincho"/>
    <w:panose1 w:val="00000000000000000000"/>
    <w:charset w:val="80"/>
    <w:family w:val="roman"/>
    <w:notTrueType/>
    <w:pitch w:val="default"/>
    <w:sig w:usb0="00000000" w:usb1="08070000" w:usb2="00000010" w:usb3="00000000" w:csb0="00020001"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0DD"/>
    <w:rsid w:val="0001247F"/>
    <w:rsid w:val="00047C19"/>
    <w:rsid w:val="00061157"/>
    <w:rsid w:val="000624FF"/>
    <w:rsid w:val="000937FE"/>
    <w:rsid w:val="000A50C9"/>
    <w:rsid w:val="000A559A"/>
    <w:rsid w:val="000D24D4"/>
    <w:rsid w:val="000D6217"/>
    <w:rsid w:val="0014006D"/>
    <w:rsid w:val="001C35A9"/>
    <w:rsid w:val="00203190"/>
    <w:rsid w:val="00237556"/>
    <w:rsid w:val="00265AEC"/>
    <w:rsid w:val="002C0686"/>
    <w:rsid w:val="0039303B"/>
    <w:rsid w:val="004144A3"/>
    <w:rsid w:val="004160E7"/>
    <w:rsid w:val="004416C6"/>
    <w:rsid w:val="00456E96"/>
    <w:rsid w:val="004C6221"/>
    <w:rsid w:val="004D038D"/>
    <w:rsid w:val="004F4E20"/>
    <w:rsid w:val="004F5AB2"/>
    <w:rsid w:val="005074B9"/>
    <w:rsid w:val="00563A5F"/>
    <w:rsid w:val="005C0D18"/>
    <w:rsid w:val="005C62E5"/>
    <w:rsid w:val="005D008A"/>
    <w:rsid w:val="005E40DD"/>
    <w:rsid w:val="00601F4E"/>
    <w:rsid w:val="00624CF0"/>
    <w:rsid w:val="006669B6"/>
    <w:rsid w:val="006D40A2"/>
    <w:rsid w:val="006E6A2C"/>
    <w:rsid w:val="007219C1"/>
    <w:rsid w:val="00745C63"/>
    <w:rsid w:val="00753462"/>
    <w:rsid w:val="00772325"/>
    <w:rsid w:val="00797904"/>
    <w:rsid w:val="007A2FE0"/>
    <w:rsid w:val="007C6D1D"/>
    <w:rsid w:val="007C779F"/>
    <w:rsid w:val="007D654E"/>
    <w:rsid w:val="00892FF4"/>
    <w:rsid w:val="008C0DC0"/>
    <w:rsid w:val="0090074D"/>
    <w:rsid w:val="00901A35"/>
    <w:rsid w:val="00926DB6"/>
    <w:rsid w:val="009A6209"/>
    <w:rsid w:val="009B3BF0"/>
    <w:rsid w:val="009D5E5E"/>
    <w:rsid w:val="009F1BB4"/>
    <w:rsid w:val="009F4F28"/>
    <w:rsid w:val="00A20D39"/>
    <w:rsid w:val="00A254A2"/>
    <w:rsid w:val="00A65041"/>
    <w:rsid w:val="00AB2D54"/>
    <w:rsid w:val="00AB6ED4"/>
    <w:rsid w:val="00AB7D7F"/>
    <w:rsid w:val="00B14210"/>
    <w:rsid w:val="00B22ED6"/>
    <w:rsid w:val="00B23DC0"/>
    <w:rsid w:val="00B71F04"/>
    <w:rsid w:val="00B96656"/>
    <w:rsid w:val="00BA0A8E"/>
    <w:rsid w:val="00BE3364"/>
    <w:rsid w:val="00C2401D"/>
    <w:rsid w:val="00C250D7"/>
    <w:rsid w:val="00C53A68"/>
    <w:rsid w:val="00C66578"/>
    <w:rsid w:val="00C8488B"/>
    <w:rsid w:val="00CA5BB4"/>
    <w:rsid w:val="00CB4BD1"/>
    <w:rsid w:val="00CD139C"/>
    <w:rsid w:val="00CE2DA9"/>
    <w:rsid w:val="00CE44BE"/>
    <w:rsid w:val="00D008F3"/>
    <w:rsid w:val="00D0142D"/>
    <w:rsid w:val="00D04DFF"/>
    <w:rsid w:val="00D15ED6"/>
    <w:rsid w:val="00D20347"/>
    <w:rsid w:val="00D4356B"/>
    <w:rsid w:val="00D7162F"/>
    <w:rsid w:val="00DA599C"/>
    <w:rsid w:val="00DB4DB5"/>
    <w:rsid w:val="00DE4D10"/>
    <w:rsid w:val="00E25590"/>
    <w:rsid w:val="00E44A86"/>
    <w:rsid w:val="00E522EB"/>
    <w:rsid w:val="00E60827"/>
    <w:rsid w:val="00EF6E0C"/>
    <w:rsid w:val="00F14477"/>
    <w:rsid w:val="00F370E5"/>
    <w:rsid w:val="00F42351"/>
    <w:rsid w:val="00F55028"/>
    <w:rsid w:val="00F677F0"/>
    <w:rsid w:val="00F77BEF"/>
    <w:rsid w:val="00FC755C"/>
    <w:rsid w:val="00FE0D4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25590"/>
    <w:rPr>
      <w:color w:val="808080"/>
    </w:rPr>
  </w:style>
  <w:style w:type="paragraph" w:customStyle="1" w:styleId="E86D2C4AE1264BF6957D8F78B9AA5E9B">
    <w:name w:val="E86D2C4AE1264BF6957D8F78B9AA5E9B"/>
    <w:rsid w:val="00E25590"/>
    <w:pPr>
      <w:spacing w:line="278" w:lineRule="auto"/>
    </w:pPr>
    <w:rPr>
      <w:kern w:val="2"/>
      <w:sz w:val="24"/>
      <w:szCs w:val="24"/>
      <w14:ligatures w14:val="standardContextual"/>
    </w:rPr>
  </w:style>
  <w:style w:type="paragraph" w:customStyle="1" w:styleId="513A4359071D4252B4EF5DC2381D0B74">
    <w:name w:val="513A4359071D4252B4EF5DC2381D0B74"/>
    <w:rsid w:val="00E25590"/>
    <w:pPr>
      <w:spacing w:line="278" w:lineRule="auto"/>
    </w:pPr>
    <w:rPr>
      <w:kern w:val="2"/>
      <w:sz w:val="24"/>
      <w:szCs w:val="24"/>
      <w14:ligatures w14:val="standardContextual"/>
    </w:rPr>
  </w:style>
  <w:style w:type="paragraph" w:customStyle="1" w:styleId="1F2C1083C408453EB47FAD23A144EFC9">
    <w:name w:val="1F2C1083C408453EB47FAD23A144EFC9"/>
    <w:rsid w:val="00E2559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C6BED-4A7A-43F0-B09B-E9BA44A9E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7212</Words>
  <Characters>4111</Characters>
  <Application>Microsoft Office Word</Application>
  <DocSecurity>0</DocSecurity>
  <Lines>34</Lines>
  <Paragraphs>22</Paragraphs>
  <ScaleCrop>false</ScaleCrop>
  <Company/>
  <LinksUpToDate>false</LinksUpToDate>
  <CharactersWithSpaces>11301</CharactersWithSpaces>
  <SharedDoc>false</SharedDoc>
  <HLinks>
    <vt:vector size="6" baseType="variant">
      <vt:variant>
        <vt:i4>5308539</vt:i4>
      </vt:variant>
      <vt:variant>
        <vt:i4>6</vt:i4>
      </vt:variant>
      <vt:variant>
        <vt:i4>0</vt:i4>
      </vt:variant>
      <vt:variant>
        <vt:i4>5</vt:i4>
      </vt:variant>
      <vt:variant>
        <vt:lpwstr>mailto:vvkt@vvkt.lt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2026-09-29T10:10:00Z</dcterms:created>
  <dcterms:modified xsi:type="dcterms:W3CDTF">2026-09-29T10:20:00Z</dcterms:modified>
</cp:coreProperties>
</file>