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5EB3" w14:textId="1955ADE3" w:rsidR="005F7602" w:rsidRPr="000203E1" w:rsidRDefault="005F7602" w:rsidP="002946C7">
      <w:pPr>
        <w:ind w:left="5529"/>
      </w:pPr>
    </w:p>
    <w:p w14:paraId="12FA4B9E" w14:textId="39AA3336" w:rsidR="001B3C5B" w:rsidRPr="000203E1" w:rsidRDefault="00DC261A" w:rsidP="001B3C5B">
      <w:pPr>
        <w:ind w:left="6096"/>
      </w:pPr>
      <w:bookmarkStart w:id="0" w:name="_Hlk189565243"/>
      <w:r w:rsidRPr="00DC261A">
        <w:t>PATVIRTINTA</w:t>
      </w:r>
    </w:p>
    <w:p w14:paraId="7206970B" w14:textId="70E9BD2E" w:rsidR="004C263A" w:rsidRPr="000203E1" w:rsidRDefault="001B3C5B" w:rsidP="001B3C5B">
      <w:pPr>
        <w:ind w:left="6096"/>
      </w:pPr>
      <w:r w:rsidRPr="000203E1">
        <w:t>Valstybinės vaistų kontrolės tarnybos prie Lietuvos Respublikos sveikatos apsaugos ministerijos viršininko 2021 m</w:t>
      </w:r>
      <w:r w:rsidR="004C263A" w:rsidRPr="000203E1">
        <w:t xml:space="preserve">. lapkričio 12 </w:t>
      </w:r>
      <w:r w:rsidRPr="000203E1">
        <w:t>d. įsakymu Nr.</w:t>
      </w:r>
      <w:r w:rsidR="004C263A" w:rsidRPr="000203E1">
        <w:t xml:space="preserve"> (1.72E)1A-1418</w:t>
      </w:r>
    </w:p>
    <w:p w14:paraId="5B219AA6" w14:textId="3A5D6CB4" w:rsidR="001B3C5B" w:rsidRPr="000203E1" w:rsidRDefault="004C263A" w:rsidP="001B3C5B">
      <w:pPr>
        <w:ind w:left="6096"/>
      </w:pPr>
      <w:r w:rsidRPr="000203E1">
        <w:t>(Valstybinės vaistų kontrolės tarnybos prie Lietuvos Respublikos sveikatos apsaugos ministerijos viršininko 202</w:t>
      </w:r>
      <w:r w:rsidR="00A2310D">
        <w:t>5</w:t>
      </w:r>
      <w:r w:rsidRPr="000203E1">
        <w:t xml:space="preserve"> m.                         d. įsakymo Nr.                    redakcija)</w:t>
      </w:r>
    </w:p>
    <w:p w14:paraId="3336BD74" w14:textId="77777777" w:rsidR="001B3C5B" w:rsidRPr="000203E1" w:rsidRDefault="001B3C5B" w:rsidP="00FA4169"/>
    <w:bookmarkEnd w:id="0"/>
    <w:p w14:paraId="56604434" w14:textId="77777777" w:rsidR="00DC261A" w:rsidRDefault="00DC261A" w:rsidP="003B211A">
      <w:pPr>
        <w:jc w:val="center"/>
        <w:rPr>
          <w:b/>
        </w:rPr>
      </w:pPr>
    </w:p>
    <w:p w14:paraId="77AFB67E" w14:textId="0FB133A2" w:rsidR="00613501" w:rsidRPr="000203E1" w:rsidRDefault="002F0E4F" w:rsidP="003B211A">
      <w:pPr>
        <w:jc w:val="center"/>
        <w:rPr>
          <w:b/>
          <w:bCs/>
          <w:caps/>
        </w:rPr>
      </w:pPr>
      <w:r w:rsidRPr="000203E1">
        <w:rPr>
          <w:b/>
        </w:rPr>
        <w:t xml:space="preserve">REKOMENDACIJA DĖL VAISTINIO PREPARATO </w:t>
      </w:r>
      <w:r w:rsidRPr="000203E1">
        <w:rPr>
          <w:b/>
          <w:bCs/>
          <w:caps/>
        </w:rPr>
        <w:t>Lietuvos Respublikos Sveikatos apsaugos ministerijos vaistinių preparatų ir medicinos pagalbos priemonių kompensavimo komisijai</w:t>
      </w:r>
    </w:p>
    <w:p w14:paraId="34E4395D" w14:textId="15FB10DF" w:rsidR="00B13D65" w:rsidRPr="000203E1" w:rsidRDefault="00B13D65" w:rsidP="003B211A">
      <w:pPr>
        <w:jc w:val="center"/>
        <w:rPr>
          <w:b/>
        </w:rPr>
      </w:pPr>
    </w:p>
    <w:p w14:paraId="7BF8483C" w14:textId="34EE2DC6" w:rsidR="00F27E97" w:rsidRDefault="00F27E97" w:rsidP="00F27E97">
      <w:pPr>
        <w:jc w:val="center"/>
        <w:rPr>
          <w:b/>
        </w:rPr>
      </w:pPr>
      <w:proofErr w:type="spellStart"/>
      <w:r>
        <w:rPr>
          <w:b/>
        </w:rPr>
        <w:t>Jardiance</w:t>
      </w:r>
      <w:proofErr w:type="spellEnd"/>
      <w:r>
        <w:rPr>
          <w:b/>
        </w:rPr>
        <w:t xml:space="preserve"> 10</w:t>
      </w:r>
      <w:r w:rsidR="00B04AB2">
        <w:rPr>
          <w:b/>
        </w:rPr>
        <w:t xml:space="preserve"> </w:t>
      </w:r>
      <w:r>
        <w:rPr>
          <w:b/>
        </w:rPr>
        <w:t>mg plėvele dengtos tabletės</w:t>
      </w:r>
    </w:p>
    <w:p w14:paraId="48F13CFF" w14:textId="305EDB2C" w:rsidR="00AF79FF" w:rsidRPr="009300B3" w:rsidRDefault="00AF79FF" w:rsidP="00AF79FF">
      <w:pPr>
        <w:jc w:val="center"/>
        <w:rPr>
          <w:b/>
        </w:rPr>
      </w:pPr>
      <w:proofErr w:type="spellStart"/>
      <w:r>
        <w:rPr>
          <w:b/>
        </w:rPr>
        <w:t>Jardiance</w:t>
      </w:r>
      <w:proofErr w:type="spellEnd"/>
      <w:r>
        <w:rPr>
          <w:b/>
        </w:rPr>
        <w:t xml:space="preserve"> 25</w:t>
      </w:r>
      <w:r w:rsidR="00B04AB2">
        <w:rPr>
          <w:b/>
        </w:rPr>
        <w:t xml:space="preserve"> </w:t>
      </w:r>
      <w:r>
        <w:rPr>
          <w:b/>
        </w:rPr>
        <w:t>mg plėvele dengtos tabletės</w:t>
      </w:r>
    </w:p>
    <w:p w14:paraId="1658DEE8" w14:textId="77777777" w:rsidR="00AF79FF" w:rsidRPr="009300B3" w:rsidRDefault="00AF79FF" w:rsidP="00F27E97">
      <w:pPr>
        <w:jc w:val="center"/>
        <w:rPr>
          <w:b/>
        </w:rPr>
      </w:pPr>
    </w:p>
    <w:p w14:paraId="0DD1629D" w14:textId="77777777" w:rsidR="00F27E97" w:rsidRPr="009300B3" w:rsidRDefault="00F27E97" w:rsidP="00F27E97">
      <w:pPr>
        <w:jc w:val="center"/>
      </w:pPr>
      <w:proofErr w:type="spellStart"/>
      <w:r>
        <w:rPr>
          <w:b/>
        </w:rPr>
        <w:t>Empagliflozinas</w:t>
      </w:r>
      <w:proofErr w:type="spellEnd"/>
    </w:p>
    <w:p w14:paraId="34C0DE1A" w14:textId="77777777" w:rsidR="00F27E97" w:rsidRPr="009300B3" w:rsidRDefault="00F27E97" w:rsidP="00F27E97">
      <w:pPr>
        <w:jc w:val="center"/>
      </w:pPr>
    </w:p>
    <w:p w14:paraId="661566B5" w14:textId="77777777" w:rsidR="00F27E97" w:rsidRPr="009300B3" w:rsidRDefault="00F27E97" w:rsidP="00F27E97">
      <w:pPr>
        <w:jc w:val="center"/>
        <w:rPr>
          <w:b/>
        </w:rPr>
      </w:pPr>
      <w:r>
        <w:rPr>
          <w:b/>
        </w:rPr>
        <w:t>STV-292</w:t>
      </w:r>
    </w:p>
    <w:p w14:paraId="453197C8" w14:textId="77777777" w:rsidR="00D4708D" w:rsidRPr="000203E1" w:rsidRDefault="00D4708D" w:rsidP="003B211A">
      <w:pPr>
        <w:jc w:val="center"/>
        <w:rPr>
          <w:b/>
        </w:rPr>
      </w:pPr>
    </w:p>
    <w:p w14:paraId="78C89D1C" w14:textId="0DEFFAA5" w:rsidR="00D4485B" w:rsidRPr="000203E1" w:rsidRDefault="00B13D65" w:rsidP="00CC09D4">
      <w:pPr>
        <w:pStyle w:val="Sraopastraipa"/>
        <w:numPr>
          <w:ilvl w:val="0"/>
          <w:numId w:val="12"/>
        </w:numPr>
        <w:tabs>
          <w:tab w:val="left" w:pos="567"/>
        </w:tabs>
        <w:ind w:left="567" w:hanging="567"/>
        <w:rPr>
          <w:b/>
          <w:bCs/>
          <w:caps/>
        </w:rPr>
      </w:pPr>
      <w:r w:rsidRPr="000203E1">
        <w:rPr>
          <w:b/>
          <w:bCs/>
          <w:caps/>
        </w:rPr>
        <w:t>Bendroji dalis</w:t>
      </w:r>
    </w:p>
    <w:p w14:paraId="3DFBB154" w14:textId="77777777" w:rsidR="0012653C" w:rsidRPr="001C3329" w:rsidRDefault="0012653C" w:rsidP="0012653C">
      <w:pPr>
        <w:pStyle w:val="Sraopastraipa"/>
        <w:numPr>
          <w:ilvl w:val="0"/>
          <w:numId w:val="12"/>
        </w:numPr>
        <w:tabs>
          <w:tab w:val="left" w:pos="284"/>
        </w:tabs>
        <w:spacing w:line="280" w:lineRule="atLeast"/>
        <w:jc w:val="both"/>
        <w:rPr>
          <w:rFonts w:eastAsia="Arial"/>
          <w:b/>
        </w:rPr>
      </w:pPr>
    </w:p>
    <w:tbl>
      <w:tblPr>
        <w:tblStyle w:val="Lentelstinklelis"/>
        <w:tblW w:w="9493" w:type="dxa"/>
        <w:tblLook w:val="04A0" w:firstRow="1" w:lastRow="0" w:firstColumn="1" w:lastColumn="0" w:noHBand="0" w:noVBand="1"/>
      </w:tblPr>
      <w:tblGrid>
        <w:gridCol w:w="632"/>
        <w:gridCol w:w="3899"/>
        <w:gridCol w:w="4962"/>
      </w:tblGrid>
      <w:tr w:rsidR="0012653C" w:rsidRPr="001C3329" w14:paraId="02FE7DAE" w14:textId="77777777" w:rsidTr="001642DA">
        <w:trPr>
          <w:trHeight w:val="538"/>
        </w:trPr>
        <w:tc>
          <w:tcPr>
            <w:tcW w:w="632" w:type="dxa"/>
          </w:tcPr>
          <w:p w14:paraId="7BCEA872" w14:textId="77777777" w:rsidR="0012653C" w:rsidRPr="001C3329" w:rsidRDefault="0012653C" w:rsidP="001642DA">
            <w:pPr>
              <w:jc w:val="both"/>
              <w:rPr>
                <w:rFonts w:eastAsia="Arial"/>
                <w:b/>
                <w:bCs/>
              </w:rPr>
            </w:pPr>
            <w:bookmarkStart w:id="1" w:name="_Hlk187088187"/>
            <w:r w:rsidRPr="001C3329">
              <w:rPr>
                <w:rFonts w:eastAsia="Arial"/>
                <w:b/>
                <w:bCs/>
              </w:rPr>
              <w:t>1.1</w:t>
            </w:r>
          </w:p>
        </w:tc>
        <w:tc>
          <w:tcPr>
            <w:tcW w:w="3899" w:type="dxa"/>
          </w:tcPr>
          <w:p w14:paraId="422121D0" w14:textId="77777777" w:rsidR="0012653C" w:rsidRPr="001C3329" w:rsidRDefault="0012653C" w:rsidP="001642DA">
            <w:pPr>
              <w:jc w:val="both"/>
              <w:rPr>
                <w:rFonts w:eastAsia="Arial"/>
                <w:b/>
                <w:bCs/>
              </w:rPr>
            </w:pPr>
            <w:r w:rsidRPr="001C3329">
              <w:rPr>
                <w:rFonts w:eastAsia="Arial"/>
                <w:b/>
                <w:bCs/>
              </w:rPr>
              <w:t>Pareiškėjas/ pareiškėjo atstovas</w:t>
            </w:r>
          </w:p>
        </w:tc>
        <w:tc>
          <w:tcPr>
            <w:tcW w:w="4962" w:type="dxa"/>
          </w:tcPr>
          <w:p w14:paraId="0C1B00E8" w14:textId="35613377" w:rsidR="0012653C" w:rsidRPr="001C3329" w:rsidRDefault="00D52251" w:rsidP="001642DA">
            <w:pPr>
              <w:jc w:val="both"/>
              <w:rPr>
                <w:rFonts w:eastAsia="Arial"/>
              </w:rPr>
            </w:pPr>
            <w:r>
              <w:t xml:space="preserve">Rolandas Urniežius, </w:t>
            </w:r>
            <w:proofErr w:type="spellStart"/>
            <w:r w:rsidRPr="00941036">
              <w:t>Boehringer</w:t>
            </w:r>
            <w:proofErr w:type="spellEnd"/>
            <w:r w:rsidRPr="00941036">
              <w:t xml:space="preserve"> </w:t>
            </w:r>
            <w:proofErr w:type="spellStart"/>
            <w:r w:rsidRPr="00941036">
              <w:t>Ingelheim</w:t>
            </w:r>
            <w:proofErr w:type="spellEnd"/>
            <w:r w:rsidRPr="00941036">
              <w:t xml:space="preserve"> RCV </w:t>
            </w:r>
            <w:proofErr w:type="spellStart"/>
            <w:r w:rsidRPr="00941036">
              <w:t>GmbH</w:t>
            </w:r>
            <w:proofErr w:type="spellEnd"/>
            <w:r w:rsidRPr="00941036">
              <w:t xml:space="preserve"> &amp; </w:t>
            </w:r>
            <w:proofErr w:type="spellStart"/>
            <w:r w:rsidRPr="00941036">
              <w:t>Co</w:t>
            </w:r>
            <w:proofErr w:type="spellEnd"/>
            <w:r w:rsidRPr="00941036">
              <w:t xml:space="preserve"> KG Lietuvos filialas</w:t>
            </w:r>
          </w:p>
        </w:tc>
      </w:tr>
      <w:tr w:rsidR="0012653C" w:rsidRPr="001C3329" w14:paraId="2F05578A" w14:textId="77777777" w:rsidTr="001642DA">
        <w:trPr>
          <w:trHeight w:val="538"/>
        </w:trPr>
        <w:tc>
          <w:tcPr>
            <w:tcW w:w="632" w:type="dxa"/>
          </w:tcPr>
          <w:p w14:paraId="782834EE" w14:textId="77777777" w:rsidR="0012653C" w:rsidRPr="001C3329" w:rsidRDefault="0012653C" w:rsidP="001642DA">
            <w:pPr>
              <w:jc w:val="both"/>
              <w:rPr>
                <w:rFonts w:eastAsia="Arial"/>
                <w:b/>
                <w:bCs/>
              </w:rPr>
            </w:pPr>
            <w:r w:rsidRPr="001C3329">
              <w:rPr>
                <w:rFonts w:eastAsia="Arial"/>
                <w:b/>
                <w:bCs/>
              </w:rPr>
              <w:t>1.2</w:t>
            </w:r>
          </w:p>
        </w:tc>
        <w:tc>
          <w:tcPr>
            <w:tcW w:w="3899" w:type="dxa"/>
          </w:tcPr>
          <w:p w14:paraId="39837B8F" w14:textId="77777777" w:rsidR="0012653C" w:rsidRPr="001C3329" w:rsidRDefault="0012653C" w:rsidP="001642DA">
            <w:pPr>
              <w:jc w:val="both"/>
              <w:rPr>
                <w:b/>
                <w:bCs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 xml:space="preserve">Vaistinio preparato registracijos data </w:t>
            </w:r>
          </w:p>
          <w:p w14:paraId="0427F97D" w14:textId="77777777" w:rsidR="0012653C" w:rsidRPr="001C3329" w:rsidRDefault="0012653C" w:rsidP="001642DA">
            <w:pPr>
              <w:jc w:val="both"/>
              <w:rPr>
                <w:b/>
                <w:bCs/>
                <w:lang w:eastAsia="lt-LT"/>
              </w:rPr>
            </w:pPr>
          </w:p>
        </w:tc>
        <w:tc>
          <w:tcPr>
            <w:tcW w:w="4962" w:type="dxa"/>
          </w:tcPr>
          <w:p w14:paraId="0C9AF067" w14:textId="61194242" w:rsidR="0012653C" w:rsidRPr="001C3329" w:rsidRDefault="00BC2D10" w:rsidP="001642DA">
            <w:pPr>
              <w:jc w:val="both"/>
              <w:rPr>
                <w:rStyle w:val="Style2"/>
              </w:rPr>
            </w:pPr>
            <w:sdt>
              <w:sdtPr>
                <w:rPr>
                  <w:sz w:val="32"/>
                </w:rPr>
                <w:alias w:val="Nurodykite konkrečią dieną"/>
                <w:tag w:val="Nurodykite pradžios datą"/>
                <w:id w:val="1772196685"/>
                <w:placeholder>
                  <w:docPart w:val="65F4D56B2EF9465085144986D474F378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>
                <w:rPr>
                  <w:sz w:val="24"/>
                </w:rPr>
              </w:sdtEndPr>
              <w:sdtContent>
                <w:r w:rsidR="00CF52EC" w:rsidRPr="00CF52EC">
                  <w:t>2014 m. gegužės 22 d., centrinė registracija 015 m. birželio 19 d.</w:t>
                </w:r>
              </w:sdtContent>
            </w:sdt>
          </w:p>
        </w:tc>
      </w:tr>
      <w:tr w:rsidR="0012653C" w:rsidRPr="001C3329" w14:paraId="2FD9EBFE" w14:textId="77777777" w:rsidTr="001642DA">
        <w:trPr>
          <w:trHeight w:val="1396"/>
        </w:trPr>
        <w:tc>
          <w:tcPr>
            <w:tcW w:w="632" w:type="dxa"/>
          </w:tcPr>
          <w:p w14:paraId="7AFC24D7" w14:textId="77777777" w:rsidR="0012653C" w:rsidRPr="001C3329" w:rsidRDefault="0012653C" w:rsidP="001642DA">
            <w:pPr>
              <w:jc w:val="both"/>
              <w:rPr>
                <w:rFonts w:eastAsia="Arial"/>
                <w:b/>
                <w:bCs/>
              </w:rPr>
            </w:pPr>
            <w:r w:rsidRPr="001C3329">
              <w:rPr>
                <w:rFonts w:eastAsia="Arial"/>
                <w:b/>
                <w:bCs/>
              </w:rPr>
              <w:t>1.3</w:t>
            </w:r>
          </w:p>
        </w:tc>
        <w:tc>
          <w:tcPr>
            <w:tcW w:w="3899" w:type="dxa"/>
          </w:tcPr>
          <w:p w14:paraId="361E58E6" w14:textId="77777777" w:rsidR="0012653C" w:rsidRPr="001C3329" w:rsidRDefault="0012653C" w:rsidP="001642DA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1C3329">
              <w:rPr>
                <w:rFonts w:ascii="Times New Roman" w:hAnsi="Times New Roman"/>
                <w:b/>
                <w:sz w:val="24"/>
                <w:szCs w:val="24"/>
              </w:rPr>
              <w:t xml:space="preserve">Vaistinio preparato </w:t>
            </w:r>
            <w:r w:rsidRPr="001C332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registracijos teisinis pagrindas</w:t>
            </w:r>
          </w:p>
          <w:p w14:paraId="45452EB8" w14:textId="77777777" w:rsidR="0012653C" w:rsidRPr="001C3329" w:rsidRDefault="0012653C" w:rsidP="001642DA">
            <w:pPr>
              <w:pStyle w:val="Betarp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1C332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(</w:t>
            </w:r>
            <w:r w:rsidRPr="001C3329">
              <w:rPr>
                <w:rFonts w:ascii="Times New Roman" w:hAnsi="Times New Roman"/>
                <w:b/>
                <w:sz w:val="24"/>
                <w:szCs w:val="24"/>
              </w:rPr>
              <w:t>Direktyvos 2001/83/EB str.)</w:t>
            </w:r>
          </w:p>
        </w:tc>
        <w:tc>
          <w:tcPr>
            <w:tcW w:w="4962" w:type="dxa"/>
          </w:tcPr>
          <w:p w14:paraId="0A1E2768" w14:textId="77777777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526292078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MS Gothic" w:eastAsia="MS Gothic" w:hAnsi="MS Gothic"/>
                  </w:rPr>
                  <w:t>☒</w:t>
                </w:r>
              </w:sdtContent>
            </w:sdt>
            <w:r w:rsidR="0012653C" w:rsidRPr="001C3329">
              <w:t>8.3 str. (pilna byla, pagrįsta savais tyrimais)</w:t>
            </w:r>
          </w:p>
          <w:p w14:paraId="41DA7D19" w14:textId="77777777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-149795373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653C" w:rsidRPr="001C3329">
              <w:t>10 a str. (pripažintas medicininis vartojimas)</w:t>
            </w:r>
          </w:p>
          <w:p w14:paraId="75FE0A63" w14:textId="77777777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20414249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653C" w:rsidRPr="001C3329">
              <w:t>10.1 str. (</w:t>
            </w:r>
            <w:proofErr w:type="spellStart"/>
            <w:r w:rsidR="0012653C" w:rsidRPr="001C3329">
              <w:t>generinis</w:t>
            </w:r>
            <w:proofErr w:type="spellEnd"/>
            <w:r w:rsidR="0012653C" w:rsidRPr="001C3329">
              <w:t>)</w:t>
            </w:r>
          </w:p>
          <w:p w14:paraId="2DE15DCB" w14:textId="77777777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82030510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653C" w:rsidRPr="001C3329">
              <w:t>10.3 str. (hibridinis)</w:t>
            </w:r>
          </w:p>
          <w:p w14:paraId="39D808E4" w14:textId="77777777" w:rsidR="0012653C" w:rsidRPr="001C3329" w:rsidRDefault="00BC2D10" w:rsidP="001642DA">
            <w:pPr>
              <w:rPr>
                <w:rStyle w:val="Style2"/>
              </w:rPr>
            </w:pPr>
            <w:sdt>
              <w:sdtPr>
                <w:rPr>
                  <w:rStyle w:val="Style2"/>
                </w:rPr>
                <w:id w:val="-45017604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653C" w:rsidRPr="001C3329">
              <w:t>10.4 str. (panašus biologinis)</w:t>
            </w:r>
          </w:p>
        </w:tc>
      </w:tr>
      <w:tr w:rsidR="0012653C" w:rsidRPr="001C3329" w14:paraId="4D88134C" w14:textId="77777777" w:rsidTr="001642DA">
        <w:trPr>
          <w:trHeight w:val="1011"/>
        </w:trPr>
        <w:tc>
          <w:tcPr>
            <w:tcW w:w="632" w:type="dxa"/>
          </w:tcPr>
          <w:p w14:paraId="563F4EF5" w14:textId="77777777" w:rsidR="0012653C" w:rsidRPr="001C3329" w:rsidRDefault="0012653C" w:rsidP="001642DA">
            <w:pPr>
              <w:jc w:val="both"/>
              <w:rPr>
                <w:rFonts w:eastAsia="Arial"/>
                <w:b/>
                <w:bCs/>
              </w:rPr>
            </w:pPr>
            <w:r w:rsidRPr="001C3329">
              <w:rPr>
                <w:rFonts w:eastAsia="Arial"/>
                <w:b/>
              </w:rPr>
              <w:t>1.4</w:t>
            </w:r>
          </w:p>
        </w:tc>
        <w:tc>
          <w:tcPr>
            <w:tcW w:w="3899" w:type="dxa"/>
          </w:tcPr>
          <w:p w14:paraId="55C4E51E" w14:textId="77777777" w:rsidR="0012653C" w:rsidRPr="001C3329" w:rsidRDefault="0012653C" w:rsidP="001642DA">
            <w:pPr>
              <w:tabs>
                <w:tab w:val="left" w:pos="284"/>
              </w:tabs>
              <w:spacing w:line="280" w:lineRule="atLeast"/>
              <w:jc w:val="both"/>
              <w:rPr>
                <w:b/>
                <w:bCs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>Ar vaistinis preparatas įrašytas į Bendrijos retųjų vaistinių preparatų registrą?</w:t>
            </w:r>
          </w:p>
        </w:tc>
        <w:tc>
          <w:tcPr>
            <w:tcW w:w="4962" w:type="dxa"/>
          </w:tcPr>
          <w:p w14:paraId="7D96A11D" w14:textId="77777777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119073046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653C" w:rsidRPr="001C3329">
              <w:t xml:space="preserve"> Taip       </w:t>
            </w:r>
            <w:r w:rsidR="0012653C" w:rsidRPr="001C3329">
              <w:rPr>
                <w:rStyle w:val="Style2"/>
              </w:rPr>
              <w:t xml:space="preserve"> </w:t>
            </w:r>
            <w:sdt>
              <w:sdtPr>
                <w:rPr>
                  <w:rStyle w:val="Style2"/>
                </w:rPr>
                <w:id w:val="-1760283509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MS Gothic" w:eastAsia="MS Gothic" w:hAnsi="MS Gothic"/>
                  </w:rPr>
                  <w:t>☒</w:t>
                </w:r>
              </w:sdtContent>
            </w:sdt>
            <w:r w:rsidR="0012653C" w:rsidRPr="001C3329">
              <w:t xml:space="preserve"> Ne</w:t>
            </w:r>
          </w:p>
          <w:p w14:paraId="16AFC0FC" w14:textId="77777777" w:rsidR="0012653C" w:rsidRPr="001C3329" w:rsidRDefault="0012653C" w:rsidP="001642DA">
            <w:pPr>
              <w:jc w:val="both"/>
            </w:pPr>
            <w:r w:rsidRPr="001C3329">
              <w:t xml:space="preserve">Data: </w:t>
            </w:r>
            <w:sdt>
              <w:sdtPr>
                <w:alias w:val="Nurodykite konkrečią dieną"/>
                <w:tag w:val="Nurodykite pradžios datą"/>
                <w:id w:val="1784158105"/>
                <w:placeholder>
                  <w:docPart w:val="C9F9030180744FE0B3D679E71F835902"/>
                </w:placeholder>
                <w:showingPlcHdr/>
                <w15:color w:val="FFCC99"/>
                <w:date w:fullDate="2022-05-18T00:00:00Z"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1C3329">
                  <w:rPr>
                    <w:rStyle w:val="Vietosrezervavimoenklotekstas"/>
                  </w:rPr>
                  <w:t>Click here to enter a date.</w:t>
                </w:r>
              </w:sdtContent>
            </w:sdt>
          </w:p>
          <w:p w14:paraId="6F8B494D" w14:textId="77777777" w:rsidR="0012653C" w:rsidRPr="001C3329" w:rsidRDefault="0012653C" w:rsidP="001642DA">
            <w:pPr>
              <w:jc w:val="both"/>
              <w:rPr>
                <w:rFonts w:eastAsia="Arial"/>
              </w:rPr>
            </w:pPr>
            <w:r w:rsidRPr="001C3329">
              <w:t>Nr.</w:t>
            </w:r>
          </w:p>
        </w:tc>
      </w:tr>
      <w:tr w:rsidR="0012653C" w:rsidRPr="001C3329" w14:paraId="11AC825B" w14:textId="77777777" w:rsidTr="001642DA">
        <w:trPr>
          <w:trHeight w:val="1011"/>
        </w:trPr>
        <w:tc>
          <w:tcPr>
            <w:tcW w:w="632" w:type="dxa"/>
          </w:tcPr>
          <w:p w14:paraId="78591C0E" w14:textId="77777777" w:rsidR="0012653C" w:rsidRPr="001C3329" w:rsidRDefault="0012653C" w:rsidP="001642DA">
            <w:pPr>
              <w:jc w:val="both"/>
              <w:rPr>
                <w:rFonts w:eastAsia="Arial"/>
                <w:b/>
              </w:rPr>
            </w:pPr>
            <w:r w:rsidRPr="001C3329">
              <w:rPr>
                <w:rFonts w:eastAsia="Arial"/>
                <w:b/>
                <w:bCs/>
              </w:rPr>
              <w:t>1.5</w:t>
            </w:r>
          </w:p>
        </w:tc>
        <w:tc>
          <w:tcPr>
            <w:tcW w:w="3899" w:type="dxa"/>
          </w:tcPr>
          <w:p w14:paraId="0D962FF0" w14:textId="77777777" w:rsidR="0012653C" w:rsidRPr="001C3329" w:rsidRDefault="0012653C" w:rsidP="001642DA">
            <w:pPr>
              <w:tabs>
                <w:tab w:val="left" w:pos="284"/>
              </w:tabs>
              <w:spacing w:line="280" w:lineRule="atLeast"/>
              <w:jc w:val="both"/>
              <w:rPr>
                <w:b/>
                <w:bCs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>Ar atliktas bendras klinikinis vertinimas</w:t>
            </w:r>
          </w:p>
          <w:p w14:paraId="55B9BE90" w14:textId="77777777" w:rsidR="0012653C" w:rsidRPr="001C3329" w:rsidRDefault="0012653C" w:rsidP="001642DA">
            <w:pPr>
              <w:tabs>
                <w:tab w:val="left" w:pos="284"/>
              </w:tabs>
              <w:spacing w:line="280" w:lineRule="atLeast"/>
              <w:jc w:val="both"/>
              <w:rPr>
                <w:b/>
                <w:bCs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>(Europos Parlamento ir Tarybos reglamentas (ES) 2021/2282)</w:t>
            </w:r>
          </w:p>
        </w:tc>
        <w:tc>
          <w:tcPr>
            <w:tcW w:w="4962" w:type="dxa"/>
          </w:tcPr>
          <w:p w14:paraId="51D072E1" w14:textId="77777777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-117156447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653C" w:rsidRPr="001C3329">
              <w:t xml:space="preserve"> Taip       </w:t>
            </w:r>
            <w:r w:rsidR="0012653C" w:rsidRPr="001C3329">
              <w:rPr>
                <w:rStyle w:val="Style2"/>
              </w:rPr>
              <w:t xml:space="preserve"> </w:t>
            </w:r>
            <w:sdt>
              <w:sdtPr>
                <w:rPr>
                  <w:rStyle w:val="Style2"/>
                </w:rPr>
                <w:id w:val="1448122567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MS Gothic" w:eastAsia="MS Gothic" w:hAnsi="MS Gothic"/>
                  </w:rPr>
                  <w:t>☒</w:t>
                </w:r>
              </w:sdtContent>
            </w:sdt>
            <w:r w:rsidR="0012653C" w:rsidRPr="001C3329">
              <w:t xml:space="preserve"> Ne</w:t>
            </w:r>
          </w:p>
          <w:p w14:paraId="44D3F00A" w14:textId="77777777" w:rsidR="0012653C" w:rsidRPr="001C3329" w:rsidRDefault="0012653C" w:rsidP="001642DA">
            <w:pPr>
              <w:jc w:val="both"/>
              <w:rPr>
                <w:rStyle w:val="Style2"/>
              </w:rPr>
            </w:pPr>
            <w:r w:rsidRPr="001C3329">
              <w:t xml:space="preserve">Data: </w:t>
            </w:r>
            <w:sdt>
              <w:sdtPr>
                <w:alias w:val="Nurodykite konkrečią dieną"/>
                <w:tag w:val="Nurodykite pradžios datą"/>
                <w:id w:val="1516880001"/>
                <w:placeholder>
                  <w:docPart w:val="6C9752C6CBD84186BBCEF4F37C82054C"/>
                </w:placeholder>
                <w:showingPlcHdr/>
                <w15:color w:val="FFCC99"/>
                <w:date w:fullDate="2022-05-18T00:00:00Z"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Pr="001C3329">
                  <w:rPr>
                    <w:rStyle w:val="Vietosrezervavimoenklotekstas"/>
                  </w:rPr>
                  <w:t>Click here to enter a date.</w:t>
                </w:r>
              </w:sdtContent>
            </w:sdt>
            <w:r w:rsidRPr="001C3329">
              <w:t xml:space="preserve"> </w:t>
            </w:r>
          </w:p>
        </w:tc>
      </w:tr>
      <w:tr w:rsidR="007268C9" w:rsidRPr="001C3329" w14:paraId="75AF80E1" w14:textId="77777777" w:rsidTr="001642DA">
        <w:trPr>
          <w:trHeight w:val="1278"/>
        </w:trPr>
        <w:tc>
          <w:tcPr>
            <w:tcW w:w="632" w:type="dxa"/>
          </w:tcPr>
          <w:p w14:paraId="2211A4EB" w14:textId="77777777" w:rsidR="007268C9" w:rsidRPr="001C3329" w:rsidRDefault="007268C9" w:rsidP="007268C9">
            <w:pPr>
              <w:jc w:val="both"/>
              <w:rPr>
                <w:rFonts w:eastAsia="Arial"/>
                <w:b/>
                <w:bCs/>
              </w:rPr>
            </w:pPr>
            <w:r w:rsidRPr="001C3329">
              <w:rPr>
                <w:rFonts w:eastAsia="Arial"/>
                <w:b/>
                <w:bCs/>
              </w:rPr>
              <w:t>1.6</w:t>
            </w:r>
          </w:p>
        </w:tc>
        <w:tc>
          <w:tcPr>
            <w:tcW w:w="3899" w:type="dxa"/>
          </w:tcPr>
          <w:p w14:paraId="19F08644" w14:textId="77777777" w:rsidR="007268C9" w:rsidRPr="001C3329" w:rsidRDefault="007268C9" w:rsidP="007268C9">
            <w:pPr>
              <w:jc w:val="both"/>
              <w:rPr>
                <w:b/>
                <w:bCs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 xml:space="preserve">Teikiama kompensuoti terapinė indikacija </w:t>
            </w:r>
          </w:p>
          <w:p w14:paraId="3B5BAFB4" w14:textId="77777777" w:rsidR="007268C9" w:rsidRPr="001C3329" w:rsidRDefault="007268C9" w:rsidP="007268C9">
            <w:pPr>
              <w:jc w:val="both"/>
              <w:rPr>
                <w:b/>
                <w:bCs/>
                <w:lang w:eastAsia="lt-LT"/>
              </w:rPr>
            </w:pPr>
          </w:p>
          <w:p w14:paraId="47704D6E" w14:textId="77777777" w:rsidR="007268C9" w:rsidRPr="001C3329" w:rsidRDefault="007268C9" w:rsidP="007268C9">
            <w:pPr>
              <w:jc w:val="both"/>
              <w:rPr>
                <w:b/>
                <w:bCs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>Kodas pagal TLK-10 AM</w:t>
            </w:r>
          </w:p>
        </w:tc>
        <w:tc>
          <w:tcPr>
            <w:tcW w:w="4962" w:type="dxa"/>
          </w:tcPr>
          <w:p w14:paraId="7F66BB80" w14:textId="77777777" w:rsidR="007268C9" w:rsidRPr="009300B3" w:rsidRDefault="007268C9" w:rsidP="007268C9">
            <w:pPr>
              <w:jc w:val="both"/>
            </w:pPr>
            <w:r>
              <w:t>S</w:t>
            </w:r>
            <w:r w:rsidRPr="00224387">
              <w:t>kirtas suaugusiesiems, sergantiems lėtine inkstų liga, gydyti</w:t>
            </w:r>
            <w:r w:rsidRPr="00D9737E">
              <w:t>.</w:t>
            </w:r>
          </w:p>
          <w:p w14:paraId="233415D6" w14:textId="77777777" w:rsidR="007268C9" w:rsidRPr="009300B3" w:rsidRDefault="007268C9" w:rsidP="007268C9">
            <w:pPr>
              <w:jc w:val="both"/>
            </w:pPr>
          </w:p>
          <w:p w14:paraId="203681CB" w14:textId="77777777" w:rsidR="007268C9" w:rsidRPr="009300B3" w:rsidRDefault="007268C9" w:rsidP="007268C9">
            <w:pPr>
              <w:jc w:val="both"/>
            </w:pPr>
            <w:r>
              <w:t>N18</w:t>
            </w:r>
          </w:p>
          <w:p w14:paraId="665F6B98" w14:textId="77777777" w:rsidR="007268C9" w:rsidRPr="001C3329" w:rsidRDefault="007268C9" w:rsidP="007268C9">
            <w:pPr>
              <w:jc w:val="both"/>
            </w:pPr>
          </w:p>
        </w:tc>
      </w:tr>
      <w:tr w:rsidR="0012653C" w:rsidRPr="001C3329" w14:paraId="0E52D2EF" w14:textId="77777777" w:rsidTr="001642DA">
        <w:trPr>
          <w:trHeight w:val="378"/>
        </w:trPr>
        <w:tc>
          <w:tcPr>
            <w:tcW w:w="632" w:type="dxa"/>
          </w:tcPr>
          <w:p w14:paraId="68F02FB2" w14:textId="77777777" w:rsidR="0012653C" w:rsidRPr="001C3329" w:rsidRDefault="0012653C" w:rsidP="001642DA">
            <w:pPr>
              <w:jc w:val="both"/>
              <w:rPr>
                <w:rFonts w:eastAsia="Arial"/>
                <w:b/>
                <w:bCs/>
              </w:rPr>
            </w:pPr>
            <w:r w:rsidRPr="001C3329">
              <w:rPr>
                <w:rFonts w:eastAsia="Arial"/>
                <w:b/>
                <w:bCs/>
              </w:rPr>
              <w:lastRenderedPageBreak/>
              <w:t>1.7</w:t>
            </w:r>
          </w:p>
        </w:tc>
        <w:tc>
          <w:tcPr>
            <w:tcW w:w="3899" w:type="dxa"/>
          </w:tcPr>
          <w:p w14:paraId="6162B886" w14:textId="77777777" w:rsidR="0012653C" w:rsidRPr="001C3329" w:rsidRDefault="0012653C" w:rsidP="001642DA">
            <w:pPr>
              <w:jc w:val="both"/>
              <w:rPr>
                <w:b/>
                <w:bCs/>
                <w:u w:val="single"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 xml:space="preserve">Teikiamos skyrimo sąlygos </w:t>
            </w:r>
          </w:p>
        </w:tc>
        <w:tc>
          <w:tcPr>
            <w:tcW w:w="4962" w:type="dxa"/>
          </w:tcPr>
          <w:p w14:paraId="2A5ECDDD" w14:textId="77777777" w:rsidR="0012653C" w:rsidRDefault="00811DD6" w:rsidP="001642DA">
            <w:pPr>
              <w:spacing w:before="240"/>
              <w:jc w:val="both"/>
            </w:pPr>
            <w:r>
              <w:rPr>
                <w:lang w:eastAsia="lt-LT"/>
              </w:rPr>
              <w:t>S</w:t>
            </w:r>
            <w:r w:rsidRPr="00941036">
              <w:rPr>
                <w:lang w:eastAsia="lt-LT"/>
              </w:rPr>
              <w:t xml:space="preserve">kiriamas standartinio gydymo papildymui pacientams, vartojantiems didžiausias patvirtintas toleruojamas AKF inhibitorių arba </w:t>
            </w:r>
            <w:proofErr w:type="spellStart"/>
            <w:r w:rsidRPr="00941036">
              <w:rPr>
                <w:lang w:eastAsia="lt-LT"/>
              </w:rPr>
              <w:t>angiotenzino</w:t>
            </w:r>
            <w:proofErr w:type="spellEnd"/>
            <w:r w:rsidRPr="00941036">
              <w:rPr>
                <w:lang w:eastAsia="lt-LT"/>
              </w:rPr>
              <w:t xml:space="preserve"> receptorių blokatorių dozes (nebent jie </w:t>
            </w:r>
            <w:proofErr w:type="spellStart"/>
            <w:r w:rsidRPr="00941036">
              <w:rPr>
                <w:lang w:eastAsia="lt-LT"/>
              </w:rPr>
              <w:t>kontraindikuotini</w:t>
            </w:r>
            <w:proofErr w:type="spellEnd"/>
            <w:r w:rsidRPr="00941036">
              <w:rPr>
                <w:lang w:eastAsia="lt-LT"/>
              </w:rPr>
              <w:t xml:space="preserve">), kurių apskaičiuotas GFG prieš pradedant gydymą </w:t>
            </w:r>
            <w:proofErr w:type="spellStart"/>
            <w:r w:rsidRPr="00941036">
              <w:rPr>
                <w:lang w:eastAsia="lt-LT"/>
              </w:rPr>
              <w:t>empagliflozinu</w:t>
            </w:r>
            <w:proofErr w:type="spellEnd"/>
            <w:r w:rsidRPr="00941036">
              <w:rPr>
                <w:lang w:eastAsia="lt-LT"/>
              </w:rPr>
              <w:t xml:space="preserve"> yra 25–90 ml/min/1,73 m</w:t>
            </w:r>
            <w:r w:rsidRPr="00941036">
              <w:rPr>
                <w:vertAlign w:val="superscript"/>
                <w:lang w:eastAsia="lt-LT"/>
              </w:rPr>
              <w:t>2</w:t>
            </w:r>
            <w:r w:rsidRPr="0049633F">
              <w:t>.</w:t>
            </w:r>
          </w:p>
          <w:p w14:paraId="2BC3B711" w14:textId="0271BDDC" w:rsidR="00AF79FF" w:rsidRPr="001C3329" w:rsidRDefault="00AF79FF" w:rsidP="001642DA">
            <w:pPr>
              <w:spacing w:before="240"/>
              <w:jc w:val="both"/>
              <w:rPr>
                <w:rFonts w:eastAsia="Calibri"/>
                <w:bCs/>
                <w:color w:val="000000"/>
              </w:rPr>
            </w:pPr>
          </w:p>
        </w:tc>
      </w:tr>
      <w:tr w:rsidR="0012653C" w:rsidRPr="001C3329" w14:paraId="20A9E131" w14:textId="77777777" w:rsidTr="001642DA">
        <w:trPr>
          <w:trHeight w:val="378"/>
        </w:trPr>
        <w:tc>
          <w:tcPr>
            <w:tcW w:w="632" w:type="dxa"/>
          </w:tcPr>
          <w:p w14:paraId="1A72C071" w14:textId="77777777" w:rsidR="0012653C" w:rsidRPr="001C3329" w:rsidRDefault="0012653C" w:rsidP="001642DA">
            <w:pPr>
              <w:jc w:val="both"/>
              <w:rPr>
                <w:rFonts w:eastAsia="Arial"/>
                <w:b/>
                <w:bCs/>
              </w:rPr>
            </w:pPr>
            <w:r w:rsidRPr="001C3329">
              <w:rPr>
                <w:rFonts w:eastAsia="Arial"/>
                <w:b/>
                <w:bCs/>
              </w:rPr>
              <w:t>1.8</w:t>
            </w:r>
          </w:p>
        </w:tc>
        <w:tc>
          <w:tcPr>
            <w:tcW w:w="3899" w:type="dxa"/>
          </w:tcPr>
          <w:p w14:paraId="3F4D6992" w14:textId="77777777" w:rsidR="0012653C" w:rsidRPr="001C3329" w:rsidRDefault="0012653C" w:rsidP="001642DA">
            <w:pPr>
              <w:jc w:val="both"/>
              <w:rPr>
                <w:b/>
                <w:bCs/>
                <w:lang w:eastAsia="lt-LT"/>
              </w:rPr>
            </w:pPr>
            <w:r w:rsidRPr="001C3329">
              <w:rPr>
                <w:b/>
                <w:bCs/>
                <w:lang w:eastAsia="lt-LT"/>
              </w:rPr>
              <w:t>Ekonominė analizė</w:t>
            </w:r>
          </w:p>
        </w:tc>
        <w:tc>
          <w:tcPr>
            <w:tcW w:w="4962" w:type="dxa"/>
          </w:tcPr>
          <w:p w14:paraId="17D7DA90" w14:textId="558E3A06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35632336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11DD6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  <w:r w:rsidR="0012653C" w:rsidRPr="001C3329">
              <w:t xml:space="preserve"> Kaštų naudingumo analizė</w:t>
            </w:r>
          </w:p>
          <w:p w14:paraId="4EE87597" w14:textId="77777777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-25050658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2653C" w:rsidRPr="001C3329">
                  <w:rPr>
                    <w:rStyle w:val="Style2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2653C" w:rsidRPr="001C3329">
              <w:t xml:space="preserve"> Kaštų mažinimo analizė</w:t>
            </w:r>
          </w:p>
          <w:p w14:paraId="46F4134C" w14:textId="7096329E" w:rsidR="0012653C" w:rsidRPr="001C3329" w:rsidRDefault="00BC2D10" w:rsidP="001642DA">
            <w:pPr>
              <w:jc w:val="both"/>
            </w:pPr>
            <w:sdt>
              <w:sdtPr>
                <w:rPr>
                  <w:rStyle w:val="Style2"/>
                </w:rPr>
                <w:id w:val="-1517455044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11DD6">
                  <w:rPr>
                    <w:rStyle w:val="Style2"/>
                    <w:rFonts w:ascii="MS Gothic" w:eastAsia="MS Gothic" w:hAnsi="MS Gothic" w:hint="eastAsia"/>
                  </w:rPr>
                  <w:t>☒</w:t>
                </w:r>
              </w:sdtContent>
            </w:sdt>
            <w:r w:rsidR="0012653C" w:rsidRPr="001C3329">
              <w:t xml:space="preserve"> Neteikiama</w:t>
            </w:r>
          </w:p>
          <w:p w14:paraId="1C95249A" w14:textId="77777777" w:rsidR="0012653C" w:rsidRPr="001C3329" w:rsidRDefault="0012653C" w:rsidP="001642DA">
            <w:pPr>
              <w:jc w:val="both"/>
            </w:pPr>
          </w:p>
        </w:tc>
      </w:tr>
    </w:tbl>
    <w:bookmarkEnd w:id="1"/>
    <w:p w14:paraId="2EB7FD31" w14:textId="5615B363" w:rsidR="007A2B68" w:rsidRPr="000203E1" w:rsidRDefault="00DC261A" w:rsidP="00063A50">
      <w:pPr>
        <w:pStyle w:val="Sraopastraipa"/>
        <w:tabs>
          <w:tab w:val="left" w:pos="426"/>
        </w:tabs>
        <w:ind w:left="0"/>
        <w:jc w:val="center"/>
        <w:rPr>
          <w:b/>
          <w:bCs/>
          <w:caps/>
        </w:rPr>
      </w:pPr>
      <w:r w:rsidRPr="00DC261A">
        <w:rPr>
          <w:b/>
          <w:bCs/>
          <w:caps/>
        </w:rPr>
        <w:t>___________________</w:t>
      </w:r>
    </w:p>
    <w:p w14:paraId="73290081" w14:textId="77777777" w:rsidR="007A2B68" w:rsidRPr="000203E1" w:rsidRDefault="007A2B68">
      <w:pPr>
        <w:rPr>
          <w:b/>
          <w:bCs/>
          <w:caps/>
        </w:rPr>
      </w:pPr>
      <w:r w:rsidRPr="000203E1">
        <w:rPr>
          <w:b/>
          <w:bCs/>
          <w:caps/>
        </w:rPr>
        <w:br w:type="page"/>
      </w:r>
    </w:p>
    <w:p w14:paraId="5055E8A8" w14:textId="322076A3" w:rsidR="002E6F80" w:rsidRPr="000203E1" w:rsidRDefault="00CC7832" w:rsidP="00CC09D4">
      <w:pPr>
        <w:pStyle w:val="Sraopastraipa"/>
        <w:numPr>
          <w:ilvl w:val="0"/>
          <w:numId w:val="12"/>
        </w:numPr>
        <w:tabs>
          <w:tab w:val="left" w:pos="567"/>
        </w:tabs>
        <w:ind w:hanging="720"/>
        <w:rPr>
          <w:b/>
          <w:bCs/>
          <w:caps/>
        </w:rPr>
      </w:pPr>
      <w:r w:rsidRPr="000203E1">
        <w:rPr>
          <w:b/>
          <w:bCs/>
          <w:caps/>
        </w:rPr>
        <w:lastRenderedPageBreak/>
        <w:t>Klinikinio vertinimo a</w:t>
      </w:r>
      <w:r w:rsidR="00D4485B" w:rsidRPr="000203E1">
        <w:rPr>
          <w:b/>
          <w:bCs/>
          <w:caps/>
        </w:rPr>
        <w:t>pibendrinimas</w:t>
      </w:r>
    </w:p>
    <w:p w14:paraId="72C78556" w14:textId="77777777" w:rsidR="0012653C" w:rsidRDefault="0012653C" w:rsidP="00D12869">
      <w:pPr>
        <w:tabs>
          <w:tab w:val="left" w:pos="284"/>
        </w:tabs>
        <w:rPr>
          <w:i/>
          <w:color w:val="00B050"/>
        </w:rPr>
      </w:pPr>
    </w:p>
    <w:p w14:paraId="6FB4B5D7" w14:textId="77777777" w:rsidR="00DF2637" w:rsidRPr="00C15173" w:rsidRDefault="00DF2637" w:rsidP="00DF2637">
      <w:pPr>
        <w:spacing w:before="120" w:line="360" w:lineRule="auto"/>
        <w:ind w:firstLine="720"/>
        <w:jc w:val="both"/>
        <w:rPr>
          <w:lang w:eastAsia="lt-LT"/>
        </w:rPr>
      </w:pPr>
      <w:r w:rsidRPr="00C15173">
        <w:t xml:space="preserve">Lėtinė inkstų liga (LIL) - inkstų funkcijos sutrikimas ar struktūros pakitimai, trunkantys ilgiau kaip 3 mėnesius ir turintys įtakos sveikatos būklei. Lietuvoje, dažniausias LIL rizikos veiksnys pirminėje sveikatos priežiūros grandyje buvo arterinė hipertenzija, antroje vietoje - pirminės inkstų ligos, trečioje - cukrinis diabetas, ketvirtoje - komplikuota išeminė liga. Lėtinis inkstų nepakankamumas, kai </w:t>
      </w:r>
      <w:proofErr w:type="spellStart"/>
      <w:r w:rsidRPr="00C15173">
        <w:t>aGFG</w:t>
      </w:r>
      <w:proofErr w:type="spellEnd"/>
      <w:r w:rsidRPr="00C15173">
        <w:t xml:space="preserve"> &lt;60 ml/min/1,73 m² rastas beveik pusei sergančių arterine hipertenzija ir komplikuota išemine liga, 39,53 proc. – cukriniu diabetu ir ketvirtadaliui - pirminėmis inkstų ligomis. LIL – progresuojanti liga, pasireiškianti daugybinėmis komplikacijomis ir gretutiniais susirgimais, galinčiais progresuoti į galutinį inkstų nepakankamumą. LIL progresuojant, didėja miokardo infarkto, insulto, širdies nepakankamumo ir mirties rizika. Dažnos LIL komplikacijos – infekcijos, kaulų mineralinio tankio mažėjimas, anemija, </w:t>
      </w:r>
      <w:proofErr w:type="spellStart"/>
      <w:r w:rsidRPr="00C15173">
        <w:t>hiperkalemija</w:t>
      </w:r>
      <w:proofErr w:type="spellEnd"/>
      <w:r w:rsidRPr="00C15173">
        <w:t xml:space="preserve">, </w:t>
      </w:r>
      <w:proofErr w:type="spellStart"/>
      <w:r w:rsidRPr="00C15173">
        <w:t>metabolinė</w:t>
      </w:r>
      <w:proofErr w:type="spellEnd"/>
      <w:r w:rsidRPr="00C15173">
        <w:t xml:space="preserve"> </w:t>
      </w:r>
      <w:proofErr w:type="spellStart"/>
      <w:r w:rsidRPr="00C15173">
        <w:t>acidozė</w:t>
      </w:r>
      <w:proofErr w:type="spellEnd"/>
      <w:r w:rsidRPr="00C15173">
        <w:t xml:space="preserve">. Ligai progresuojant reikšmingai didėja mirštamumo rizika – mirties rizikos santykis (RS) didėja nuo 1,23 esant stadijai 3a iki 2,96 esant stadijoms 4/5. Pacientų, pradėtų gydyti hemodialize 1998.01.01–2005.12.31 dėl galutinio inkstų nepakankamumo Lietuvoje, vienerių metų išgyvenimas buvo 79,6 proc., dvejų – 68,8 proc., penkerių – 49,4 proc., septynerių – 37,9 proc., gyvenimo trukmės mediana – 58,9 mėn. Remiantis Higienos instituto duomenimis 2021 - 2025 m. sergamumas lėtine inkstų liga (LIL) didėjo nuo 19 945 iki 27 805 pacientų (vidutiniškai 8,78 proc. kasmet), ligotumas – nuo 40 038 iki 66 198 pacientų (vidutiniškai 13,45 proc. kasmet), mirštamumas 2020 – 2024 m. – mažėjo nuo 87 iki 63 pacientų (vidutiniškai -0,23 proc. kasmet). Lietuvoje LIL diagnostikai ir gydymui vadovaujamasi KDIGO gairėmis ir įvairiais jų atnaujinimais. Pagal KDIGO 2024 m. gaires SGLT2 inhibitorių grupės vaistai rekomenduojami kaip pirmo pasirinkimo gydymas, neišskiriant atskirų veikliųjų medžiagų. </w:t>
      </w:r>
      <w:r w:rsidRPr="00C15173">
        <w:rPr>
          <w:color w:val="000000"/>
        </w:rPr>
        <w:t xml:space="preserve">KIDGO 2024 metų gairėse rekomenduojama skirti SGLT2 inhibitorių pacientams, sergantiems LIL ir 2 tipo cukriniu diabetu su </w:t>
      </w:r>
      <w:proofErr w:type="spellStart"/>
      <w:r w:rsidRPr="00C15173">
        <w:rPr>
          <w:color w:val="000000"/>
        </w:rPr>
        <w:t>aGFG</w:t>
      </w:r>
      <w:proofErr w:type="spellEnd"/>
      <w:r w:rsidRPr="00C15173">
        <w:rPr>
          <w:color w:val="000000"/>
        </w:rPr>
        <w:t xml:space="preserve"> ≥ 20 ml/min/1,73 m2, sergantiems LIL ir širdies nepakankamumu su </w:t>
      </w:r>
      <w:proofErr w:type="spellStart"/>
      <w:r w:rsidRPr="00C15173">
        <w:rPr>
          <w:color w:val="000000"/>
        </w:rPr>
        <w:t>aGFG</w:t>
      </w:r>
      <w:proofErr w:type="spellEnd"/>
      <w:r w:rsidRPr="00C15173">
        <w:rPr>
          <w:color w:val="000000"/>
        </w:rPr>
        <w:t xml:space="preserve"> ≥ 20 ml/min/1,73 m2 ir  </w:t>
      </w:r>
      <w:proofErr w:type="spellStart"/>
      <w:r w:rsidRPr="00C15173">
        <w:rPr>
          <w:color w:val="000000"/>
        </w:rPr>
        <w:t>šAKS</w:t>
      </w:r>
      <w:proofErr w:type="spellEnd"/>
      <w:r w:rsidRPr="00C15173">
        <w:rPr>
          <w:color w:val="000000"/>
        </w:rPr>
        <w:t xml:space="preserve"> &gt;20 mg/</w:t>
      </w:r>
      <w:proofErr w:type="spellStart"/>
      <w:r w:rsidRPr="00C15173">
        <w:rPr>
          <w:color w:val="000000"/>
        </w:rPr>
        <w:t>mmol</w:t>
      </w:r>
      <w:proofErr w:type="spellEnd"/>
      <w:r w:rsidRPr="00C15173">
        <w:rPr>
          <w:color w:val="000000"/>
        </w:rPr>
        <w:t xml:space="preserve">, ir sergantiems LIL su </w:t>
      </w:r>
      <w:proofErr w:type="spellStart"/>
      <w:r w:rsidRPr="00C15173">
        <w:rPr>
          <w:color w:val="000000"/>
        </w:rPr>
        <w:t>aGFG</w:t>
      </w:r>
      <w:proofErr w:type="spellEnd"/>
      <w:r w:rsidRPr="00C15173">
        <w:rPr>
          <w:color w:val="000000"/>
        </w:rPr>
        <w:t xml:space="preserve"> 20 – 45 ml/min/1,73 m2 ir  </w:t>
      </w:r>
      <w:proofErr w:type="spellStart"/>
      <w:r w:rsidRPr="00C15173">
        <w:rPr>
          <w:color w:val="000000"/>
        </w:rPr>
        <w:t>šAKS</w:t>
      </w:r>
      <w:proofErr w:type="spellEnd"/>
      <w:r w:rsidRPr="00C15173">
        <w:rPr>
          <w:color w:val="000000"/>
        </w:rPr>
        <w:t xml:space="preserve"> &gt;20 mg/</w:t>
      </w:r>
      <w:proofErr w:type="spellStart"/>
      <w:r w:rsidRPr="00C15173">
        <w:rPr>
          <w:color w:val="000000"/>
        </w:rPr>
        <w:t>mmol</w:t>
      </w:r>
      <w:proofErr w:type="spellEnd"/>
      <w:r w:rsidRPr="00C15173">
        <w:rPr>
          <w:color w:val="000000"/>
        </w:rPr>
        <w:t xml:space="preserve">. </w:t>
      </w:r>
      <w:r w:rsidRPr="00C15173">
        <w:t>Pagrindinis LIL gydymo tikslas – sulėtinti ar sustabdyti ligos progresavimą į galutinį inkstų nepakankamumą, sumažinti mirštamumo riziką ir sveikatos priežiūros išlaidas, susijusias su inkstų funkcijos blogėjimu.</w:t>
      </w:r>
      <w:r>
        <w:t xml:space="preserve"> </w:t>
      </w:r>
      <w:proofErr w:type="spellStart"/>
      <w:r w:rsidRPr="00C15173">
        <w:rPr>
          <w:lang w:eastAsia="lt-LT"/>
        </w:rPr>
        <w:t>Empagliflozinas</w:t>
      </w:r>
      <w:proofErr w:type="spellEnd"/>
      <w:r w:rsidRPr="00C15173">
        <w:rPr>
          <w:lang w:eastAsia="lt-LT"/>
        </w:rPr>
        <w:t xml:space="preserve"> yra grįžtamas, labai stiprus ir selektyvus konkurencinis natrio–gliukozės antrojo vienakrypčio nešiklio 2 (SGLT2) inhibitorius. </w:t>
      </w:r>
      <w:proofErr w:type="spellStart"/>
      <w:r w:rsidRPr="00C15173">
        <w:rPr>
          <w:lang w:eastAsia="lt-LT"/>
        </w:rPr>
        <w:t>Empagliflozinas</w:t>
      </w:r>
      <w:proofErr w:type="spellEnd"/>
      <w:r w:rsidRPr="00C15173">
        <w:rPr>
          <w:lang w:eastAsia="lt-LT"/>
        </w:rPr>
        <w:t xml:space="preserve"> mažina natrio jonų reabsorbciją ir padidina natrio jonų pateikimą į distalinius kanalėlius. Tai gali įtakoti kelias fiziologines funkcijas, įskaitant, bet neapsiribojant, </w:t>
      </w:r>
      <w:proofErr w:type="spellStart"/>
      <w:r w:rsidRPr="00C15173">
        <w:rPr>
          <w:lang w:eastAsia="lt-LT"/>
        </w:rPr>
        <w:t>tubuloglomerulinio</w:t>
      </w:r>
      <w:proofErr w:type="spellEnd"/>
      <w:r w:rsidRPr="00C15173">
        <w:rPr>
          <w:lang w:eastAsia="lt-LT"/>
        </w:rPr>
        <w:t xml:space="preserve"> grįžtamojo ryšio stiprinimą ir </w:t>
      </w:r>
      <w:proofErr w:type="spellStart"/>
      <w:r w:rsidRPr="00C15173">
        <w:rPr>
          <w:lang w:eastAsia="lt-LT"/>
        </w:rPr>
        <w:t>intraglomerulinio</w:t>
      </w:r>
      <w:proofErr w:type="spellEnd"/>
      <w:r w:rsidRPr="00C15173">
        <w:rPr>
          <w:lang w:eastAsia="lt-LT"/>
        </w:rPr>
        <w:t xml:space="preserve"> spaudimo mažinimą, širdies </w:t>
      </w:r>
      <w:proofErr w:type="spellStart"/>
      <w:r w:rsidRPr="00C15173">
        <w:rPr>
          <w:lang w:eastAsia="lt-LT"/>
        </w:rPr>
        <w:t>prieškrūvio</w:t>
      </w:r>
      <w:proofErr w:type="spellEnd"/>
      <w:r w:rsidRPr="00C15173">
        <w:rPr>
          <w:lang w:eastAsia="lt-LT"/>
        </w:rPr>
        <w:t xml:space="preserve"> bei </w:t>
      </w:r>
      <w:proofErr w:type="spellStart"/>
      <w:r w:rsidRPr="00C15173">
        <w:rPr>
          <w:lang w:eastAsia="lt-LT"/>
        </w:rPr>
        <w:t>pokrūvio</w:t>
      </w:r>
      <w:proofErr w:type="spellEnd"/>
      <w:r w:rsidRPr="00C15173">
        <w:rPr>
          <w:lang w:eastAsia="lt-LT"/>
        </w:rPr>
        <w:t xml:space="preserve"> mažinimą, simpatinės nervų sistemos aktyvumo sumažėjimą ir kairiojo skilvelio sienelės įtampos mažinimą, kurį rodo sumažėjusios NT </w:t>
      </w:r>
      <w:proofErr w:type="spellStart"/>
      <w:r w:rsidRPr="00C15173">
        <w:rPr>
          <w:lang w:eastAsia="lt-LT"/>
        </w:rPr>
        <w:t>proBNP</w:t>
      </w:r>
      <w:proofErr w:type="spellEnd"/>
      <w:r w:rsidRPr="00C15173">
        <w:rPr>
          <w:lang w:eastAsia="lt-LT"/>
        </w:rPr>
        <w:t xml:space="preserve"> </w:t>
      </w:r>
      <w:r w:rsidRPr="00C15173">
        <w:rPr>
          <w:lang w:eastAsia="lt-LT"/>
        </w:rPr>
        <w:lastRenderedPageBreak/>
        <w:t xml:space="preserve">tyrimo vertės ir kuris gali turėti teigiamą poveikį širdies </w:t>
      </w:r>
      <w:proofErr w:type="spellStart"/>
      <w:r w:rsidRPr="00C15173">
        <w:rPr>
          <w:lang w:eastAsia="lt-LT"/>
        </w:rPr>
        <w:t>remodeliavimui</w:t>
      </w:r>
      <w:proofErr w:type="spellEnd"/>
      <w:r w:rsidRPr="00C15173">
        <w:rPr>
          <w:lang w:eastAsia="lt-LT"/>
        </w:rPr>
        <w:t xml:space="preserve">, prisipildymo slėgiui bei </w:t>
      </w:r>
      <w:proofErr w:type="spellStart"/>
      <w:r w:rsidRPr="00C15173">
        <w:rPr>
          <w:lang w:eastAsia="lt-LT"/>
        </w:rPr>
        <w:t>diastolinei</w:t>
      </w:r>
      <w:proofErr w:type="spellEnd"/>
      <w:r w:rsidRPr="00C15173">
        <w:rPr>
          <w:lang w:eastAsia="lt-LT"/>
        </w:rPr>
        <w:t xml:space="preserve"> funkcijai ir inkstų struktūros bei funkcijos išsaugojimui.</w:t>
      </w:r>
    </w:p>
    <w:p w14:paraId="02B0FC75" w14:textId="77777777" w:rsidR="00DF2637" w:rsidRPr="00721D8D" w:rsidRDefault="00DF2637" w:rsidP="00DF2637">
      <w:pPr>
        <w:pStyle w:val="Tekstas"/>
        <w:spacing w:line="360" w:lineRule="auto"/>
        <w:ind w:firstLine="720"/>
        <w:rPr>
          <w:color w:val="auto"/>
          <w:lang w:val="lt-LT"/>
        </w:rPr>
      </w:pPr>
      <w:r w:rsidRPr="00023046">
        <w:rPr>
          <w:lang w:val="lt-LT" w:eastAsia="lt-LT"/>
        </w:rPr>
        <w:t xml:space="preserve">Pažymėta, kad šiuo metu </w:t>
      </w:r>
      <w:proofErr w:type="spellStart"/>
      <w:r w:rsidRPr="00023046">
        <w:rPr>
          <w:lang w:val="lt-LT" w:eastAsia="lt-LT"/>
        </w:rPr>
        <w:t>empagliflozino</w:t>
      </w:r>
      <w:proofErr w:type="spellEnd"/>
      <w:r w:rsidRPr="00023046">
        <w:rPr>
          <w:lang w:val="lt-LT" w:eastAsia="lt-LT"/>
        </w:rPr>
        <w:t xml:space="preserve"> skyrimo sąlygos yra siauresnės nei dapagliflozino, todėl siūloma jas išplėsti, nustatant vienodas indikacijas – skirti vaistą pacientams, kurių </w:t>
      </w:r>
      <w:proofErr w:type="spellStart"/>
      <w:r w:rsidRPr="00023046">
        <w:rPr>
          <w:lang w:val="lt-LT" w:eastAsia="lt-LT"/>
        </w:rPr>
        <w:t>glomerulų</w:t>
      </w:r>
      <w:proofErr w:type="spellEnd"/>
      <w:r w:rsidRPr="00023046">
        <w:rPr>
          <w:lang w:val="lt-LT" w:eastAsia="lt-LT"/>
        </w:rPr>
        <w:t xml:space="preserve"> filtracijos greitis yra 20–90 ml/min/1,73 m², nepriklausomai nuo kitų papildomų kriterijų.</w:t>
      </w:r>
      <w:r>
        <w:rPr>
          <w:lang w:val="lt-LT" w:eastAsia="lt-LT"/>
        </w:rPr>
        <w:t xml:space="preserve"> P</w:t>
      </w:r>
      <w:r w:rsidRPr="00023046">
        <w:rPr>
          <w:lang w:val="lt-LT" w:eastAsia="lt-LT"/>
        </w:rPr>
        <w:t>agal KDIGO 2024 m. gaires SGLT2 inhibitorių grupės vaistai rekomenduojami kaip pirmo pasirinkimo gydymas, neišskiriant atskirų veikliųjų medžiagų. Lietuvos nefrologijos, dializės ir transplantacijos asociacija</w:t>
      </w:r>
      <w:r>
        <w:rPr>
          <w:lang w:val="lt-LT" w:eastAsia="lt-LT"/>
        </w:rPr>
        <w:t xml:space="preserve"> </w:t>
      </w:r>
      <w:r w:rsidRPr="00023046">
        <w:rPr>
          <w:lang w:val="lt-LT" w:eastAsia="lt-LT"/>
        </w:rPr>
        <w:t>palaiko skyrimo ir kompensavimo sąlygų suvienodinimą</w:t>
      </w:r>
      <w:r>
        <w:rPr>
          <w:lang w:val="lt-LT" w:eastAsia="lt-LT"/>
        </w:rPr>
        <w:t>.</w:t>
      </w:r>
      <w:r w:rsidRPr="000D67C8">
        <w:rPr>
          <w:lang w:val="lt-LT"/>
        </w:rPr>
        <w:t xml:space="preserve"> </w:t>
      </w:r>
      <w:r w:rsidRPr="00C43E16">
        <w:rPr>
          <w:color w:val="auto"/>
          <w:lang w:val="lt-LT" w:eastAsia="lt-LT"/>
        </w:rPr>
        <w:t xml:space="preserve">Komisijos </w:t>
      </w:r>
      <w:r w:rsidRPr="00C43E16">
        <w:rPr>
          <w:color w:val="auto"/>
          <w:lang w:val="lt-LT"/>
        </w:rPr>
        <w:t>2026 m. balandžio 16 d. posėdžio protokole Nr. LKV-7/26, nurodoma, kad „Sutinkama, jog tarp šių vaistų (</w:t>
      </w:r>
      <w:proofErr w:type="spellStart"/>
      <w:r w:rsidRPr="00C43E16">
        <w:rPr>
          <w:color w:val="auto"/>
          <w:lang w:val="lt-LT"/>
        </w:rPr>
        <w:t>empagliflozino</w:t>
      </w:r>
      <w:proofErr w:type="spellEnd"/>
      <w:r w:rsidRPr="00C43E16">
        <w:rPr>
          <w:color w:val="auto"/>
          <w:lang w:val="lt-LT"/>
        </w:rPr>
        <w:t xml:space="preserve"> ir dapagliflozino) realaus klinikinio skirtumo nėra“.</w:t>
      </w:r>
    </w:p>
    <w:p w14:paraId="3F58DE2F" w14:textId="77777777" w:rsidR="00DF2637" w:rsidRPr="00C15173" w:rsidRDefault="00DF2637" w:rsidP="00DF2637">
      <w:pPr>
        <w:spacing w:after="80" w:line="360" w:lineRule="auto"/>
        <w:jc w:val="both"/>
        <w:rPr>
          <w:b/>
          <w:bCs/>
          <w:i/>
          <w:iCs/>
        </w:rPr>
      </w:pPr>
      <w:r w:rsidRPr="00C15173">
        <w:rPr>
          <w:b/>
          <w:bCs/>
          <w:i/>
          <w:iCs/>
        </w:rPr>
        <w:t>Tiesioginis palyginimas</w:t>
      </w:r>
    </w:p>
    <w:p w14:paraId="4F507B8D" w14:textId="77777777" w:rsidR="00DF2637" w:rsidRDefault="00DF2637" w:rsidP="00DF2637">
      <w:pPr>
        <w:spacing w:line="360" w:lineRule="auto"/>
        <w:ind w:firstLine="720"/>
        <w:jc w:val="both"/>
        <w:rPr>
          <w:rFonts w:eastAsia="Arial"/>
        </w:rPr>
      </w:pPr>
      <w:proofErr w:type="spellStart"/>
      <w:r w:rsidRPr="00BB38C7">
        <w:rPr>
          <w:rFonts w:eastAsia="Arial"/>
        </w:rPr>
        <w:t>Empagliflozino</w:t>
      </w:r>
      <w:proofErr w:type="spellEnd"/>
      <w:r w:rsidRPr="00BB38C7">
        <w:rPr>
          <w:rFonts w:eastAsia="Arial"/>
        </w:rPr>
        <w:t xml:space="preserve"> veiksmingumas grindžiamas </w:t>
      </w:r>
      <w:r w:rsidRPr="00BB38C7">
        <w:t xml:space="preserve">EMPA-KIDNEY - atsitiktinių imčių, dvigubai koduotu, placebu kontroliuojamu tyrimu. Tyrimo populiacija - lėtine inkstų liga sergantys pacientai, kurių </w:t>
      </w:r>
      <w:proofErr w:type="spellStart"/>
      <w:r w:rsidRPr="00BB38C7">
        <w:t>aGFG</w:t>
      </w:r>
      <w:proofErr w:type="spellEnd"/>
      <w:r w:rsidRPr="00BB38C7">
        <w:t xml:space="preserve"> nuo ≥ 20 ml/min./1,73 m2 iki &lt; 45 ml/min./1,73 m2 arba </w:t>
      </w:r>
      <w:proofErr w:type="spellStart"/>
      <w:r w:rsidRPr="00BB38C7">
        <w:t>aGFG</w:t>
      </w:r>
      <w:proofErr w:type="spellEnd"/>
      <w:r w:rsidRPr="00BB38C7">
        <w:t xml:space="preserve"> nuo ≥ 45 ml/min./1,73 m2 iki &lt; 90 ml/min./1,73 m2, kai </w:t>
      </w:r>
      <w:proofErr w:type="spellStart"/>
      <w:r w:rsidRPr="00BB38C7">
        <w:t>albumino</w:t>
      </w:r>
      <w:proofErr w:type="spellEnd"/>
      <w:r w:rsidRPr="00BB38C7">
        <w:t xml:space="preserve"> ir kreatinino santykis šlapime (A/K-Š) buvo ≥ 200 mg/g, kuriems skiriamas standartinis lėtinės inkstų ligos gydymas. </w:t>
      </w:r>
      <w:r w:rsidRPr="00C15173">
        <w:rPr>
          <w:spacing w:val="-5"/>
        </w:rPr>
        <w:t xml:space="preserve">Įvertinus įtraukimo ir atmetimo kriterijus EMPA-KIDNEY tyrime, pacientų populiacija atitinka egzistuojančią Lietuvos pacientų populiaciją. Siūloma kompensuoti indikacija (N18) apima visus pacientus sergančius lėtine inkstų liga, nepriklausomai nuo GFG, tačiau EMPA-KIDNEY tyrimo populiacija yra apribota pagal GFG ir </w:t>
      </w:r>
      <w:proofErr w:type="spellStart"/>
      <w:r w:rsidRPr="00C15173">
        <w:rPr>
          <w:spacing w:val="-5"/>
        </w:rPr>
        <w:t>albuminuriją</w:t>
      </w:r>
      <w:proofErr w:type="spellEnd"/>
      <w:r w:rsidRPr="00C15173">
        <w:rPr>
          <w:spacing w:val="-5"/>
        </w:rPr>
        <w:t xml:space="preserve">. </w:t>
      </w:r>
    </w:p>
    <w:p w14:paraId="17B51175" w14:textId="782D1B0C" w:rsidR="0086139E" w:rsidRDefault="00DF2637" w:rsidP="0086139E">
      <w:pPr>
        <w:spacing w:line="360" w:lineRule="auto"/>
        <w:ind w:firstLine="720"/>
        <w:jc w:val="both"/>
        <w:rPr>
          <w:rFonts w:eastAsia="Arial"/>
        </w:rPr>
      </w:pPr>
      <w:r>
        <w:rPr>
          <w:rFonts w:eastAsia="Arial"/>
        </w:rPr>
        <w:t xml:space="preserve">Tiesioginio palyginimo duomenys netinka palyginamajam veiksmingumui įvertinti dėl netinkamo palyginamojo gydymo – placebo. Tačiau </w:t>
      </w:r>
      <w:proofErr w:type="spellStart"/>
      <w:r>
        <w:rPr>
          <w:rFonts w:eastAsia="Arial"/>
        </w:rPr>
        <w:t>tieiosginio</w:t>
      </w:r>
      <w:proofErr w:type="spellEnd"/>
      <w:r>
        <w:rPr>
          <w:rFonts w:eastAsia="Arial"/>
        </w:rPr>
        <w:t xml:space="preserve"> palyginimo klininiai duomenys naudojami netiesioginiame palyginime. </w:t>
      </w:r>
    </w:p>
    <w:p w14:paraId="7AD39503" w14:textId="77777777" w:rsidR="00DF2637" w:rsidRPr="00C15173" w:rsidRDefault="00DF2637" w:rsidP="00DF2637">
      <w:pPr>
        <w:pStyle w:val="Tekstas"/>
        <w:spacing w:line="360" w:lineRule="auto"/>
        <w:rPr>
          <w:b/>
          <w:bCs/>
          <w:i/>
          <w:iCs/>
        </w:rPr>
      </w:pPr>
      <w:proofErr w:type="spellStart"/>
      <w:r w:rsidRPr="00C15173">
        <w:rPr>
          <w:b/>
          <w:bCs/>
          <w:i/>
          <w:iCs/>
        </w:rPr>
        <w:t>Palyginamasis</w:t>
      </w:r>
      <w:proofErr w:type="spellEnd"/>
      <w:r w:rsidRPr="00C15173">
        <w:rPr>
          <w:b/>
          <w:bCs/>
          <w:i/>
          <w:iCs/>
        </w:rPr>
        <w:t xml:space="preserve"> saugumas</w:t>
      </w:r>
    </w:p>
    <w:p w14:paraId="2208889B" w14:textId="77777777" w:rsidR="00DF2637" w:rsidRPr="00C15173" w:rsidRDefault="00DF2637" w:rsidP="00DF2637">
      <w:pPr>
        <w:pStyle w:val="Tekstas"/>
        <w:spacing w:line="360" w:lineRule="auto"/>
        <w:rPr>
          <w:rFonts w:eastAsia="Arial"/>
          <w:lang w:val="lt-LT"/>
        </w:rPr>
      </w:pPr>
      <w:r w:rsidRPr="00C15173">
        <w:rPr>
          <w:rFonts w:eastAsia="Arial"/>
          <w:lang w:val="lt-LT"/>
        </w:rPr>
        <w:t xml:space="preserve">Pateiktame tyrime </w:t>
      </w:r>
      <w:proofErr w:type="spellStart"/>
      <w:r w:rsidRPr="00C15173">
        <w:rPr>
          <w:rFonts w:eastAsia="Arial"/>
          <w:lang w:val="lt-LT"/>
        </w:rPr>
        <w:t>empagliflozino</w:t>
      </w:r>
      <w:proofErr w:type="spellEnd"/>
      <w:r w:rsidRPr="00C15173">
        <w:rPr>
          <w:rFonts w:eastAsia="Arial"/>
          <w:lang w:val="lt-LT"/>
        </w:rPr>
        <w:t xml:space="preserve"> saugumo profilis atitiko žinomą saugumo profilį, atsižvelgiant į lėtinės inkstų ligos sunkumą ir ligos eigą. </w:t>
      </w:r>
      <w:proofErr w:type="spellStart"/>
      <w:r w:rsidRPr="00C15173">
        <w:rPr>
          <w:rFonts w:eastAsia="Arial"/>
          <w:lang w:val="lt-LT"/>
        </w:rPr>
        <w:t>Empagliflozino</w:t>
      </w:r>
      <w:proofErr w:type="spellEnd"/>
      <w:r w:rsidRPr="00C15173">
        <w:rPr>
          <w:rFonts w:eastAsia="Arial"/>
          <w:lang w:val="lt-LT"/>
        </w:rPr>
        <w:t xml:space="preserve"> naudos/rizikos santykis yra patenkinamas LIL sergantiems suaugusiems pacientams, kurių </w:t>
      </w:r>
      <w:proofErr w:type="spellStart"/>
      <w:r w:rsidRPr="00C15173">
        <w:rPr>
          <w:rFonts w:eastAsia="Arial"/>
          <w:lang w:val="lt-LT"/>
        </w:rPr>
        <w:t>aGFG</w:t>
      </w:r>
      <w:proofErr w:type="spellEnd"/>
      <w:r w:rsidRPr="00C15173">
        <w:rPr>
          <w:rFonts w:eastAsia="Arial"/>
          <w:lang w:val="lt-LT"/>
        </w:rPr>
        <w:t xml:space="preserve"> yra ≥20 ml/min/1,73 m</w:t>
      </w:r>
      <w:r w:rsidRPr="00C15173">
        <w:rPr>
          <w:rFonts w:eastAsia="Arial"/>
          <w:vertAlign w:val="superscript"/>
          <w:lang w:val="lt-LT"/>
        </w:rPr>
        <w:t xml:space="preserve">2 </w:t>
      </w:r>
      <w:r w:rsidRPr="00C15173">
        <w:rPr>
          <w:rFonts w:eastAsia="Arial"/>
          <w:lang w:val="lt-LT"/>
        </w:rPr>
        <w:t>prieš pradedant gydymą.</w:t>
      </w:r>
      <w:r>
        <w:rPr>
          <w:rFonts w:eastAsia="Arial"/>
          <w:lang w:val="lt-LT"/>
        </w:rPr>
        <w:t xml:space="preserve"> </w:t>
      </w:r>
      <w:r w:rsidRPr="00C15173">
        <w:rPr>
          <w:rFonts w:eastAsia="Arial"/>
          <w:lang w:val="lt-LT"/>
        </w:rPr>
        <w:t xml:space="preserve">Išsamesnė informacija apie saugumo duomenis yra pateikta preparato charakteristikos santraukoje EVA puslapyje </w:t>
      </w:r>
      <w:r w:rsidRPr="00C15173">
        <w:rPr>
          <w:rFonts w:eastAsia="Arial"/>
          <w:color w:val="auto"/>
          <w:lang w:val="lt-LT"/>
        </w:rPr>
        <w:t>(</w:t>
      </w:r>
      <w:hyperlink r:id="rId8" w:history="1">
        <w:r w:rsidRPr="00C15173">
          <w:rPr>
            <w:rStyle w:val="Hipersaitas"/>
            <w:rFonts w:eastAsia="Arial"/>
            <w:color w:val="auto"/>
            <w:lang w:val="lt-LT"/>
          </w:rPr>
          <w:t>https://ec.europa.eu/health/documents/community-register/2025/20250210165025/anx_165025_lt.pdf</w:t>
        </w:r>
      </w:hyperlink>
      <w:r w:rsidRPr="00C15173">
        <w:rPr>
          <w:rFonts w:eastAsia="Arial"/>
          <w:color w:val="auto"/>
          <w:lang w:val="lt-LT"/>
        </w:rPr>
        <w:t xml:space="preserve"> ). </w:t>
      </w:r>
    </w:p>
    <w:p w14:paraId="3C6D672B" w14:textId="77777777" w:rsidR="00DF2637" w:rsidRPr="00C15173" w:rsidRDefault="00DF2637" w:rsidP="00DF2637">
      <w:pPr>
        <w:spacing w:line="360" w:lineRule="auto"/>
        <w:jc w:val="both"/>
        <w:rPr>
          <w:b/>
          <w:bCs/>
          <w:i/>
          <w:iCs/>
        </w:rPr>
      </w:pPr>
      <w:r w:rsidRPr="00C15173">
        <w:rPr>
          <w:b/>
          <w:bCs/>
          <w:i/>
          <w:iCs/>
        </w:rPr>
        <w:t>Netiesioginis palyginimas</w:t>
      </w:r>
    </w:p>
    <w:p w14:paraId="4C1BB3B0" w14:textId="77777777" w:rsidR="00DF2637" w:rsidRDefault="00DF2637" w:rsidP="00DF2637">
      <w:pPr>
        <w:spacing w:line="360" w:lineRule="auto"/>
        <w:ind w:firstLine="720"/>
        <w:jc w:val="both"/>
        <w:rPr>
          <w:rFonts w:eastAsia="Arial"/>
        </w:rPr>
      </w:pPr>
      <w:r w:rsidRPr="00CF58F8">
        <w:rPr>
          <w:rFonts w:eastAsia="Arial"/>
        </w:rPr>
        <w:t xml:space="preserve">Palyginamasis veiksmingumas grindžiamas netiesioginiu palyginimu. </w:t>
      </w:r>
      <w:r>
        <w:rPr>
          <w:rFonts w:eastAsia="Arial"/>
        </w:rPr>
        <w:t>Netiesioginiame palyginime pateiktas palyginamasis gydymas dapagliflozinu atitinka įprastą klinikinę praktiką.</w:t>
      </w:r>
    </w:p>
    <w:p w14:paraId="5DC94353" w14:textId="77777777" w:rsidR="00DF2637" w:rsidRPr="00C15173" w:rsidRDefault="00DF2637" w:rsidP="00DF2637">
      <w:pPr>
        <w:pStyle w:val="Tekstas"/>
        <w:spacing w:line="360" w:lineRule="auto"/>
        <w:ind w:firstLine="720"/>
        <w:rPr>
          <w:lang w:val="lt-LT" w:eastAsia="lt-LT"/>
        </w:rPr>
      </w:pPr>
      <w:r w:rsidRPr="00C15173">
        <w:rPr>
          <w:lang w:val="lt-LT" w:eastAsia="lt-LT"/>
        </w:rPr>
        <w:t xml:space="preserve">Pareiškėjas pateikė tinklo </w:t>
      </w:r>
      <w:proofErr w:type="spellStart"/>
      <w:r w:rsidRPr="00C15173">
        <w:rPr>
          <w:lang w:val="lt-LT" w:eastAsia="lt-LT"/>
        </w:rPr>
        <w:t>metaanalizė</w:t>
      </w:r>
      <w:proofErr w:type="spellEnd"/>
      <w:r w:rsidRPr="00C15173">
        <w:rPr>
          <w:lang w:val="lt-LT" w:eastAsia="lt-LT"/>
        </w:rPr>
        <w:t xml:space="preserve"> (TMA), kurioje netiesiogiai lyginamas </w:t>
      </w:r>
      <w:proofErr w:type="spellStart"/>
      <w:r w:rsidRPr="00C15173">
        <w:rPr>
          <w:lang w:val="lt-LT" w:eastAsia="lt-LT"/>
        </w:rPr>
        <w:t>empagliflozinas</w:t>
      </w:r>
      <w:proofErr w:type="spellEnd"/>
      <w:r w:rsidRPr="00C15173">
        <w:rPr>
          <w:lang w:val="lt-LT" w:eastAsia="lt-LT"/>
        </w:rPr>
        <w:t xml:space="preserve"> ir dapagliflozinas (</w:t>
      </w:r>
      <w:proofErr w:type="spellStart"/>
      <w:r w:rsidRPr="00C15173">
        <w:rPr>
          <w:lang w:val="lt-LT" w:eastAsia="lt-LT"/>
        </w:rPr>
        <w:t>Cao</w:t>
      </w:r>
      <w:proofErr w:type="spellEnd"/>
      <w:r w:rsidRPr="00C15173">
        <w:rPr>
          <w:lang w:val="lt-LT" w:eastAsia="lt-LT"/>
        </w:rPr>
        <w:t xml:space="preserve"> et al 2025). Buvo atlikta sisteminė literatūros apžvalga, kurioje buvo vertinami </w:t>
      </w:r>
      <w:r w:rsidRPr="00C15173">
        <w:rPr>
          <w:lang w:val="lt-LT" w:eastAsia="lt-LT"/>
        </w:rPr>
        <w:lastRenderedPageBreak/>
        <w:t>atsitiktinių imčių, dvigubai akli, placebo kontroliuojami klinikiniai tyrimai.</w:t>
      </w:r>
      <w:r w:rsidRPr="000D67C8">
        <w:rPr>
          <w:lang w:val="lt-LT" w:eastAsia="lt-LT"/>
        </w:rPr>
        <w:t xml:space="preserve"> </w:t>
      </w:r>
      <w:r w:rsidRPr="00C15173">
        <w:rPr>
          <w:lang w:val="lt-LT" w:eastAsia="lt-LT"/>
        </w:rPr>
        <w:t xml:space="preserve">Pagrindiniai vertinti rodikliai - </w:t>
      </w:r>
      <w:proofErr w:type="spellStart"/>
      <w:r w:rsidRPr="00C15173">
        <w:rPr>
          <w:lang w:val="lt-LT" w:eastAsia="lt-LT"/>
        </w:rPr>
        <w:t>aGFG</w:t>
      </w:r>
      <w:proofErr w:type="spellEnd"/>
      <w:r w:rsidRPr="00C15173">
        <w:rPr>
          <w:lang w:val="lt-LT" w:eastAsia="lt-LT"/>
        </w:rPr>
        <w:t xml:space="preserve"> pokytis, sudėtinės inkstų baigtys (≥40 proc. </w:t>
      </w:r>
      <w:proofErr w:type="spellStart"/>
      <w:r w:rsidRPr="00C15173">
        <w:rPr>
          <w:lang w:val="lt-LT" w:eastAsia="lt-LT"/>
        </w:rPr>
        <w:t>aGFG</w:t>
      </w:r>
      <w:proofErr w:type="spellEnd"/>
      <w:r w:rsidRPr="00C15173">
        <w:rPr>
          <w:lang w:val="lt-LT" w:eastAsia="lt-LT"/>
        </w:rPr>
        <w:t xml:space="preserve"> sumažėjimas, galutinės stadijos inkstų liga, dializė, transplantacija arba mirtis dėl inkstų ligos), nepageidaujami reiškiniai (hipoglikemija, </w:t>
      </w:r>
      <w:proofErr w:type="spellStart"/>
      <w:r w:rsidRPr="00C15173">
        <w:rPr>
          <w:lang w:val="lt-LT" w:eastAsia="lt-LT"/>
        </w:rPr>
        <w:t>ketoacidozė</w:t>
      </w:r>
      <w:proofErr w:type="spellEnd"/>
      <w:r w:rsidRPr="00C15173">
        <w:rPr>
          <w:lang w:val="lt-LT" w:eastAsia="lt-LT"/>
        </w:rPr>
        <w:t xml:space="preserve">, šlapimo takų ir lytinių organų infekcijos, ūminis inkstų pažeidimas ir kt.). Rezultatai statistiškai sujungti naudojant </w:t>
      </w:r>
      <w:proofErr w:type="spellStart"/>
      <w:r w:rsidRPr="00C15173">
        <w:rPr>
          <w:lang w:val="lt-LT" w:eastAsia="lt-LT"/>
        </w:rPr>
        <w:t>metaanalizės</w:t>
      </w:r>
      <w:proofErr w:type="spellEnd"/>
      <w:r w:rsidRPr="00C15173">
        <w:rPr>
          <w:lang w:val="lt-LT" w:eastAsia="lt-LT"/>
        </w:rPr>
        <w:t xml:space="preserve"> metodus, įvertintas tyrimų šališkumas, rezultatų patikimumas ir skirtumai tarp pacientų grupių pagal </w:t>
      </w:r>
      <w:proofErr w:type="spellStart"/>
      <w:r w:rsidRPr="00C15173">
        <w:rPr>
          <w:lang w:val="lt-LT" w:eastAsia="lt-LT"/>
        </w:rPr>
        <w:t>aGFG</w:t>
      </w:r>
      <w:proofErr w:type="spellEnd"/>
      <w:r w:rsidRPr="00C15173">
        <w:rPr>
          <w:lang w:val="lt-LT" w:eastAsia="lt-LT"/>
        </w:rPr>
        <w:t xml:space="preserve"> (&lt;30, 30–59 ir 60–90 ml/min/1,73 m²). </w:t>
      </w:r>
      <w:r w:rsidRPr="000D67C8">
        <w:rPr>
          <w:lang w:val="lt-LT"/>
        </w:rPr>
        <w:t xml:space="preserve">Netiesioginio palyginimo analizės populiacija atitinka siūlomą kompensuoti indikaciją bei Lietuvos pacientų sergančių lėtine inkstų liga populiaciją.  </w:t>
      </w:r>
      <w:r w:rsidRPr="000D67C8">
        <w:rPr>
          <w:lang w:val="lt-LT" w:eastAsia="lt-LT"/>
        </w:rPr>
        <w:t xml:space="preserve">TMA buvo naudojama šansų santykio metodika, kuria buvo vertinami visi SGLT-2 inhibitoriai lyginant su placebo, tačiau atsižvelgiant į įprastą klinikinę praktiką Lietuvoje, didesnis dėmesys vertinant buvo skiriamas dapagliflozino ir </w:t>
      </w:r>
      <w:proofErr w:type="spellStart"/>
      <w:r w:rsidRPr="000D67C8">
        <w:rPr>
          <w:lang w:val="lt-LT" w:eastAsia="lt-LT"/>
        </w:rPr>
        <w:t>emagliflozino</w:t>
      </w:r>
      <w:proofErr w:type="spellEnd"/>
      <w:r w:rsidRPr="000D67C8">
        <w:rPr>
          <w:lang w:val="lt-LT" w:eastAsia="lt-LT"/>
        </w:rPr>
        <w:t xml:space="preserve"> rezultatams. </w:t>
      </w:r>
      <w:r w:rsidRPr="000D67C8">
        <w:rPr>
          <w:lang w:val="lt-LT"/>
        </w:rPr>
        <w:t xml:space="preserve">Remiantis EMA/CHMP/500825/2016, vertinamųjų baigčių pasirinkimas atitiko rekomendacijas ir laikomos tinkamomis daugumoje apžvelgtų tyrimų, todėl vertinamosios baigtys laikomos tinkamomis. Remiantis netiesioginio palyginimo analize nustatyta kad SGLT2 </w:t>
      </w:r>
      <w:proofErr w:type="spellStart"/>
      <w:r w:rsidRPr="000D67C8">
        <w:rPr>
          <w:lang w:val="lt-LT"/>
        </w:rPr>
        <w:t>inbhibitorių</w:t>
      </w:r>
      <w:proofErr w:type="spellEnd"/>
      <w:r w:rsidRPr="000D67C8">
        <w:rPr>
          <w:lang w:val="lt-LT"/>
        </w:rPr>
        <w:t xml:space="preserve"> grupei priklausantys vaistai yra panašaus poveikio. SGLT2 inhibitoriai, įskaitant </w:t>
      </w:r>
      <w:proofErr w:type="spellStart"/>
      <w:r w:rsidRPr="000D67C8">
        <w:rPr>
          <w:lang w:val="lt-LT"/>
        </w:rPr>
        <w:t>empaglifloziną</w:t>
      </w:r>
      <w:proofErr w:type="spellEnd"/>
      <w:r w:rsidRPr="000D67C8">
        <w:rPr>
          <w:lang w:val="lt-LT"/>
        </w:rPr>
        <w:t xml:space="preserve"> ir dapaglifloziną, reikšmingai sulėtino </w:t>
      </w:r>
      <w:proofErr w:type="spellStart"/>
      <w:r w:rsidRPr="000D67C8">
        <w:rPr>
          <w:lang w:val="lt-LT"/>
        </w:rPr>
        <w:t>aGFG</w:t>
      </w:r>
      <w:proofErr w:type="spellEnd"/>
      <w:r w:rsidRPr="000D67C8">
        <w:rPr>
          <w:lang w:val="lt-LT"/>
        </w:rPr>
        <w:t xml:space="preserve"> mažėjimą, sumažino inkstų ligos progresavimo riziką, mirties nuo inkstų ligos, ar reikšmingo inkstų funkcijos blogėjimo riziką 34 proc. Išskiriant </w:t>
      </w:r>
      <w:proofErr w:type="spellStart"/>
      <w:r w:rsidRPr="000D67C8">
        <w:rPr>
          <w:lang w:val="lt-LT"/>
        </w:rPr>
        <w:t>empaglifloziną</w:t>
      </w:r>
      <w:proofErr w:type="spellEnd"/>
      <w:r w:rsidRPr="000D67C8">
        <w:rPr>
          <w:lang w:val="lt-LT"/>
        </w:rPr>
        <w:t xml:space="preserve"> ir dapaglifloziną įrodyta, kad šie du vaistai turi panašų poveikį inkstų funkcijai ir teigiamas poveikis buvo pastebėtas nepriklausomai nuo </w:t>
      </w:r>
      <w:proofErr w:type="spellStart"/>
      <w:r w:rsidRPr="000D67C8">
        <w:rPr>
          <w:lang w:val="lt-LT"/>
        </w:rPr>
        <w:t>aGFG</w:t>
      </w:r>
      <w:proofErr w:type="spellEnd"/>
      <w:r w:rsidRPr="000D67C8">
        <w:rPr>
          <w:lang w:val="lt-LT"/>
        </w:rPr>
        <w:t xml:space="preserve">, </w:t>
      </w:r>
      <w:proofErr w:type="spellStart"/>
      <w:r w:rsidRPr="000D67C8">
        <w:rPr>
          <w:lang w:val="lt-LT"/>
        </w:rPr>
        <w:t>šAKS</w:t>
      </w:r>
      <w:proofErr w:type="spellEnd"/>
      <w:r w:rsidRPr="000D67C8">
        <w:rPr>
          <w:lang w:val="lt-LT"/>
        </w:rPr>
        <w:t>.</w:t>
      </w:r>
    </w:p>
    <w:p w14:paraId="0D289F92" w14:textId="325F4D65" w:rsidR="00DF2637" w:rsidRDefault="00DF2637" w:rsidP="00DF2637">
      <w:pPr>
        <w:spacing w:line="360" w:lineRule="auto"/>
        <w:ind w:firstLine="720"/>
        <w:jc w:val="both"/>
      </w:pPr>
      <w:r w:rsidRPr="00B04AB2">
        <w:t xml:space="preserve">Apibendrinant, SGLT2 inhibitoriai reikšmingai sumažina lėtinės inkstų ligos progresavimo ir su ja susijusių komplikacijų riziką. </w:t>
      </w:r>
      <w:proofErr w:type="spellStart"/>
      <w:r w:rsidRPr="00B04AB2">
        <w:t>Empagliflozinas</w:t>
      </w:r>
      <w:proofErr w:type="spellEnd"/>
      <w:r w:rsidRPr="00B04AB2">
        <w:t xml:space="preserve"> lyginant su dapagliflozinu pasižymi panašiu veiksmingumu ir saugumu. </w:t>
      </w:r>
      <w:r w:rsidR="00AF79FF" w:rsidRPr="00B04AB2">
        <w:t>Remiantis klinikinių tyrimų duomenimis daroma išvada</w:t>
      </w:r>
      <w:r w:rsidRPr="00B04AB2">
        <w:t xml:space="preserve">, kad </w:t>
      </w:r>
      <w:proofErr w:type="spellStart"/>
      <w:r w:rsidRPr="00B04AB2">
        <w:t>empagliflozino</w:t>
      </w:r>
      <w:proofErr w:type="spellEnd"/>
      <w:r w:rsidRPr="00B04AB2">
        <w:t xml:space="preserve"> nauda yra </w:t>
      </w:r>
      <w:r w:rsidR="00AF79FF" w:rsidRPr="00B04AB2">
        <w:t xml:space="preserve">iš esmės </w:t>
      </w:r>
      <w:r w:rsidRPr="00B04AB2">
        <w:t>nesiskirianti lyginant su įprasta klinikine praktika.</w:t>
      </w:r>
      <w:r w:rsidRPr="00C15173">
        <w:t xml:space="preserve"> </w:t>
      </w:r>
    </w:p>
    <w:p w14:paraId="3701D46A" w14:textId="77777777" w:rsidR="00A042B9" w:rsidRPr="000203E1" w:rsidRDefault="00A042B9" w:rsidP="00662983">
      <w:pPr>
        <w:spacing w:after="120"/>
        <w:jc w:val="both"/>
      </w:pPr>
    </w:p>
    <w:p w14:paraId="78F23ECB" w14:textId="3ED5BFD5" w:rsidR="002F0E4F" w:rsidRPr="000203E1" w:rsidRDefault="002F0E4F" w:rsidP="00CC09D4">
      <w:pPr>
        <w:pStyle w:val="Sraopastraipa"/>
        <w:numPr>
          <w:ilvl w:val="0"/>
          <w:numId w:val="12"/>
        </w:numPr>
        <w:tabs>
          <w:tab w:val="left" w:pos="567"/>
        </w:tabs>
        <w:ind w:hanging="720"/>
        <w:rPr>
          <w:b/>
          <w:bCs/>
          <w:caps/>
        </w:rPr>
      </w:pPr>
      <w:r w:rsidRPr="000203E1">
        <w:rPr>
          <w:b/>
          <w:bCs/>
          <w:caps/>
        </w:rPr>
        <w:t>Išvad</w:t>
      </w:r>
      <w:r w:rsidR="00B811A4">
        <w:rPr>
          <w:b/>
          <w:bCs/>
          <w:caps/>
        </w:rPr>
        <w:t>OS</w:t>
      </w:r>
      <w:r w:rsidRPr="000203E1">
        <w:rPr>
          <w:b/>
          <w:bCs/>
          <w:caps/>
        </w:rPr>
        <w:t xml:space="preserve"> </w:t>
      </w:r>
    </w:p>
    <w:p w14:paraId="30069D85" w14:textId="77777777" w:rsidR="0061611B" w:rsidRPr="000203E1" w:rsidRDefault="0061611B" w:rsidP="0061611B">
      <w:pPr>
        <w:ind w:left="360"/>
        <w:rPr>
          <w:i/>
          <w:szCs w:val="22"/>
        </w:rPr>
      </w:pP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4820"/>
        <w:gridCol w:w="4814"/>
      </w:tblGrid>
      <w:tr w:rsidR="00B811A4" w:rsidRPr="00B811A4" w14:paraId="4D5EFB83" w14:textId="77777777" w:rsidTr="007111C4">
        <w:trPr>
          <w:trHeight w:val="510"/>
        </w:trPr>
        <w:tc>
          <w:tcPr>
            <w:tcW w:w="9634" w:type="dxa"/>
            <w:gridSpan w:val="2"/>
            <w:vAlign w:val="center"/>
          </w:tcPr>
          <w:p w14:paraId="294EC16B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Style2"/>
                <w:rFonts w:eastAsia="MS Gothic"/>
                <w:b/>
                <w:bCs/>
                <w:sz w:val="23"/>
                <w:szCs w:val="23"/>
              </w:rPr>
            </w:pPr>
            <w:bookmarkStart w:id="2" w:name="_Hlk185430554"/>
            <w:r w:rsidRPr="00B811A4">
              <w:rPr>
                <w:rStyle w:val="Style2"/>
                <w:rFonts w:eastAsia="MS Gothic"/>
                <w:b/>
                <w:bCs/>
                <w:sz w:val="23"/>
                <w:szCs w:val="23"/>
              </w:rPr>
              <w:t>Palyginamasis veiksmingumas</w:t>
            </w:r>
          </w:p>
        </w:tc>
      </w:tr>
      <w:tr w:rsidR="00B811A4" w:rsidRPr="00B811A4" w14:paraId="30B67515" w14:textId="77777777" w:rsidTr="007111C4">
        <w:tc>
          <w:tcPr>
            <w:tcW w:w="4820" w:type="dxa"/>
          </w:tcPr>
          <w:p w14:paraId="4FE3C208" w14:textId="77777777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139732464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rStyle w:val="Style2"/>
                <w:sz w:val="23"/>
                <w:szCs w:val="23"/>
              </w:rPr>
              <w:t xml:space="preserve"> 29</w:t>
            </w:r>
            <w:r w:rsidR="00B811A4" w:rsidRPr="00B811A4">
              <w:rPr>
                <w:sz w:val="23"/>
                <w:szCs w:val="23"/>
              </w:rPr>
              <w:t>.1.1 yra didesnis, lyginant su įprasta klinikine praktika</w:t>
            </w:r>
          </w:p>
          <w:p w14:paraId="6F9786E4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231EDECD" w14:textId="4D668984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418297090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420EE1">
                  <w:rPr>
                    <w:rStyle w:val="Style2"/>
                    <w:rFonts w:ascii="MS Gothic" w:eastAsia="MS Gothic" w:hAnsi="MS Gothic" w:hint="eastAsia"/>
                    <w:sz w:val="23"/>
                    <w:szCs w:val="23"/>
                  </w:rPr>
                  <w:t>☒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>.1.2 iš esmės nesiskiria, lyginant su įprasta klinikine praktika</w:t>
            </w:r>
          </w:p>
        </w:tc>
        <w:tc>
          <w:tcPr>
            <w:tcW w:w="4814" w:type="dxa"/>
          </w:tcPr>
          <w:p w14:paraId="72562F9E" w14:textId="77777777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-72475559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 xml:space="preserve">.1.3 yra neįrodytas kaip didesnis  ar iš esmės nesiskiriantis, lyginant su įprasta klinikine praktika  </w:t>
            </w:r>
          </w:p>
          <w:p w14:paraId="6F6DB5BC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5EE1D885" w14:textId="77777777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186216847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>.1.4 yra mažesnis, lyginant su įprasta klinikine praktika</w:t>
            </w:r>
          </w:p>
          <w:p w14:paraId="193C3D76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370E94DC" w14:textId="4EC80DB9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-185796018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</w:t>
            </w:r>
            <w:r w:rsidR="00B811A4" w:rsidRPr="00B811A4">
              <w:rPr>
                <w:rStyle w:val="Style2"/>
                <w:sz w:val="23"/>
                <w:szCs w:val="23"/>
              </w:rPr>
              <w:t>29</w:t>
            </w:r>
            <w:r w:rsidR="00B811A4" w:rsidRPr="00B811A4">
              <w:rPr>
                <w:sz w:val="23"/>
                <w:szCs w:val="23"/>
              </w:rPr>
              <w:t>.1.5 pateikti duomenys apie palyginamąjį veiksmingumą yra netinkami vertinti</w:t>
            </w:r>
          </w:p>
          <w:p w14:paraId="45719037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rFonts w:eastAsia="MS Gothic"/>
                <w:sz w:val="23"/>
                <w:szCs w:val="23"/>
              </w:rPr>
            </w:pPr>
          </w:p>
        </w:tc>
      </w:tr>
      <w:bookmarkEnd w:id="2"/>
      <w:tr w:rsidR="00B811A4" w:rsidRPr="00B811A4" w14:paraId="0E0F5168" w14:textId="77777777" w:rsidTr="00743956">
        <w:trPr>
          <w:trHeight w:val="510"/>
        </w:trPr>
        <w:tc>
          <w:tcPr>
            <w:tcW w:w="9634" w:type="dxa"/>
            <w:gridSpan w:val="2"/>
            <w:vAlign w:val="center"/>
          </w:tcPr>
          <w:p w14:paraId="62B67E12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Style2"/>
                <w:rFonts w:eastAsia="MS Gothic"/>
                <w:b/>
                <w:bCs/>
                <w:sz w:val="23"/>
                <w:szCs w:val="23"/>
              </w:rPr>
            </w:pPr>
            <w:r w:rsidRPr="00B811A4">
              <w:rPr>
                <w:rStyle w:val="Style2"/>
                <w:rFonts w:eastAsia="MS Gothic"/>
                <w:b/>
                <w:bCs/>
                <w:sz w:val="23"/>
                <w:szCs w:val="23"/>
              </w:rPr>
              <w:t>Kaštų naudingumas</w:t>
            </w:r>
          </w:p>
        </w:tc>
      </w:tr>
      <w:tr w:rsidR="00B811A4" w:rsidRPr="00B811A4" w14:paraId="6A2F62B2" w14:textId="77777777" w:rsidTr="00743956">
        <w:tc>
          <w:tcPr>
            <w:tcW w:w="4820" w:type="dxa"/>
          </w:tcPr>
          <w:p w14:paraId="7CB2C697" w14:textId="44A4E1DF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30165788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29.2.1 atitinka referencinę naudingumo vertę taikant arba netaikant</w:t>
            </w:r>
            <w:r w:rsidR="00437623">
              <w:rPr>
                <w:b/>
                <w:bCs/>
                <w:sz w:val="23"/>
                <w:szCs w:val="23"/>
              </w:rPr>
              <w:t xml:space="preserve"> </w:t>
            </w:r>
            <w:r w:rsidR="00B811A4" w:rsidRPr="00B811A4">
              <w:rPr>
                <w:sz w:val="23"/>
                <w:szCs w:val="23"/>
              </w:rPr>
              <w:t>PGS</w:t>
            </w:r>
          </w:p>
          <w:p w14:paraId="71797774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5BE88CDB" w14:textId="60C4FFA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rFonts w:eastAsia="MS Gothic"/>
                <w:sz w:val="23"/>
                <w:szCs w:val="23"/>
              </w:rPr>
            </w:pPr>
          </w:p>
        </w:tc>
        <w:tc>
          <w:tcPr>
            <w:tcW w:w="4814" w:type="dxa"/>
          </w:tcPr>
          <w:p w14:paraId="0370A72C" w14:textId="77777777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79186028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29.2.3 neatitinka referencinės naudingumo vertės taikant arba netaikant PGS</w:t>
            </w:r>
          </w:p>
          <w:p w14:paraId="13C9EEE5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289E6691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3"/>
                <w:szCs w:val="23"/>
              </w:rPr>
            </w:pPr>
          </w:p>
          <w:p w14:paraId="5FD1976C" w14:textId="77777777" w:rsidR="00B811A4" w:rsidRPr="00B811A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-94384985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811A4" w:rsidRPr="00B811A4">
                  <w:rPr>
                    <w:rStyle w:val="Style2"/>
                    <w:rFonts w:ascii="Segoe UI Symbol" w:eastAsia="MS Gothic" w:hAnsi="Segoe UI Symbol" w:cs="Segoe UI Symbol"/>
                    <w:sz w:val="23"/>
                    <w:szCs w:val="23"/>
                  </w:rPr>
                  <w:t>☐</w:t>
                </w:r>
              </w:sdtContent>
            </w:sdt>
            <w:r w:rsidR="00B811A4" w:rsidRPr="00B811A4">
              <w:rPr>
                <w:sz w:val="23"/>
                <w:szCs w:val="23"/>
              </w:rPr>
              <w:t xml:space="preserve"> 29.2.5 pateikti duomenys apie kaštų naudingumą yra netinkami vertinti</w:t>
            </w:r>
          </w:p>
          <w:p w14:paraId="06AB06C5" w14:textId="77777777" w:rsidR="00B811A4" w:rsidRPr="00B811A4" w:rsidRDefault="00B811A4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rFonts w:eastAsia="MS Gothic"/>
                <w:sz w:val="23"/>
                <w:szCs w:val="23"/>
              </w:rPr>
            </w:pPr>
          </w:p>
        </w:tc>
      </w:tr>
      <w:tr w:rsidR="007111C4" w:rsidRPr="00B811A4" w14:paraId="632C9193" w14:textId="77777777" w:rsidTr="00027464">
        <w:tc>
          <w:tcPr>
            <w:tcW w:w="9634" w:type="dxa"/>
            <w:gridSpan w:val="2"/>
          </w:tcPr>
          <w:p w14:paraId="15C289C9" w14:textId="12B8B956" w:rsidR="007111C4" w:rsidRDefault="00BC2D10" w:rsidP="007439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Style2"/>
                <w:sz w:val="23"/>
                <w:szCs w:val="23"/>
              </w:rPr>
            </w:pPr>
            <w:sdt>
              <w:sdtPr>
                <w:rPr>
                  <w:rStyle w:val="Style2"/>
                  <w:sz w:val="23"/>
                  <w:szCs w:val="23"/>
                </w:rPr>
                <w:id w:val="1266579562"/>
                <w15:color w:val="FFCC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420EE1">
                  <w:rPr>
                    <w:rStyle w:val="Style2"/>
                    <w:rFonts w:ascii="MS Gothic" w:eastAsia="MS Gothic" w:hAnsi="MS Gothic" w:hint="eastAsia"/>
                    <w:sz w:val="23"/>
                    <w:szCs w:val="23"/>
                  </w:rPr>
                  <w:t>☒</w:t>
                </w:r>
              </w:sdtContent>
            </w:sdt>
            <w:r w:rsidR="007111C4">
              <w:rPr>
                <w:sz w:val="23"/>
                <w:szCs w:val="23"/>
              </w:rPr>
              <w:t xml:space="preserve"> </w:t>
            </w:r>
            <w:r w:rsidR="007111C4" w:rsidRPr="007111C4">
              <w:rPr>
                <w:color w:val="000000"/>
                <w:sz w:val="23"/>
                <w:szCs w:val="23"/>
              </w:rPr>
              <w:t>Vykdant Aprašo 17</w:t>
            </w:r>
            <w:r w:rsidR="007111C4" w:rsidRPr="007111C4">
              <w:rPr>
                <w:color w:val="000000"/>
                <w:sz w:val="23"/>
                <w:szCs w:val="23"/>
                <w:vertAlign w:val="superscript"/>
              </w:rPr>
              <w:t>3</w:t>
            </w:r>
            <w:r w:rsidR="007111C4" w:rsidRPr="007111C4">
              <w:rPr>
                <w:color w:val="000000"/>
                <w:sz w:val="23"/>
                <w:szCs w:val="23"/>
              </w:rPr>
              <w:t>.3 punktą vaistinio (-ų) preparato (-ų) ekonominis vertinimas neatliekamas, išvados dėl kaštų naudingumo neteikiamos</w:t>
            </w:r>
          </w:p>
        </w:tc>
      </w:tr>
    </w:tbl>
    <w:p w14:paraId="08D5B3B6" w14:textId="292D1124" w:rsidR="0061611B" w:rsidRPr="000203E1" w:rsidRDefault="0061611B" w:rsidP="0061611B">
      <w:pPr>
        <w:rPr>
          <w:i/>
          <w:szCs w:val="22"/>
        </w:rPr>
      </w:pPr>
    </w:p>
    <w:p w14:paraId="1B85C083" w14:textId="77777777" w:rsidR="009E44AE" w:rsidRPr="000203E1" w:rsidRDefault="009E44AE" w:rsidP="00381024"/>
    <w:p w14:paraId="3B2D1F25" w14:textId="3A80E19F" w:rsidR="000001B0" w:rsidRPr="000203E1" w:rsidRDefault="000001B0" w:rsidP="00CC09D4">
      <w:pPr>
        <w:pStyle w:val="Sraopastraipa"/>
        <w:numPr>
          <w:ilvl w:val="0"/>
          <w:numId w:val="12"/>
        </w:numPr>
        <w:ind w:left="567" w:hanging="567"/>
      </w:pPr>
      <w:r w:rsidRPr="000203E1">
        <w:rPr>
          <w:b/>
        </w:rPr>
        <w:t>REKOME</w:t>
      </w:r>
      <w:r w:rsidR="00D83182" w:rsidRPr="000203E1">
        <w:rPr>
          <w:b/>
        </w:rPr>
        <w:t>N</w:t>
      </w:r>
      <w:r w:rsidRPr="000203E1">
        <w:rPr>
          <w:b/>
        </w:rPr>
        <w:t>DACIJA</w:t>
      </w:r>
    </w:p>
    <w:p w14:paraId="35E33D78" w14:textId="59232BB3" w:rsidR="00B811A4" w:rsidRPr="00D05364" w:rsidRDefault="00B811A4" w:rsidP="00B811A4">
      <w:pPr>
        <w:pStyle w:val="Sraopastraipa"/>
        <w:ind w:left="567"/>
        <w:rPr>
          <w:b/>
        </w:rPr>
      </w:pPr>
    </w:p>
    <w:p w14:paraId="55CD86F2" w14:textId="75C1ECFB" w:rsidR="00B811A4" w:rsidRPr="00C82E12" w:rsidRDefault="00B811A4" w:rsidP="00AF79FF">
      <w:pPr>
        <w:spacing w:line="276" w:lineRule="auto"/>
        <w:jc w:val="both"/>
      </w:pPr>
      <w:r w:rsidRPr="00E33EFF">
        <w:t xml:space="preserve">Vadovaujantis </w:t>
      </w:r>
      <w:r>
        <w:t>V</w:t>
      </w:r>
      <w:r w:rsidRPr="00E33EFF">
        <w:t>aistinių preparatų ir medicinos pagalbos priemonių įrašymo į kompensavimo sąrašus ir jų keitimo tvarkos aprašo</w:t>
      </w:r>
      <w:r>
        <w:t>, patvirtinto</w:t>
      </w:r>
      <w:r w:rsidRPr="00E33EFF">
        <w:t xml:space="preserve"> Lietuvos Respublikos sveikatos apsaugos ministro 2002 m. balandžio 5 d. įsakymu Nr. V-159 „Dėl vaistinių preparatų ir medicinos pagalbos priemonių įrašymo į kompensavimo sąrašus ir jų keitimo tvarkos aprašo patvirtinimo“</w:t>
      </w:r>
      <w:r>
        <w:t>,</w:t>
      </w:r>
      <w:r w:rsidRPr="00E33EFF">
        <w:t xml:space="preserve"> punktu</w:t>
      </w:r>
      <w:r w:rsidR="00C82E12">
        <w:t xml:space="preserve"> </w:t>
      </w:r>
      <w:r w:rsidRPr="00471EC6">
        <w:rPr>
          <w:color w:val="000000"/>
          <w:lang w:eastAsia="lt-LT"/>
        </w:rPr>
        <w:t>30</w:t>
      </w:r>
      <w:r w:rsidRPr="00471EC6">
        <w:rPr>
          <w:color w:val="000000"/>
          <w:vertAlign w:val="superscript"/>
          <w:lang w:eastAsia="lt-LT"/>
        </w:rPr>
        <w:t>1</w:t>
      </w:r>
      <w:r w:rsidRPr="00471EC6">
        <w:rPr>
          <w:color w:val="000000"/>
          <w:lang w:eastAsia="lt-LT"/>
        </w:rPr>
        <w:t xml:space="preserve">.1. </w:t>
      </w:r>
      <w:r>
        <w:rPr>
          <w:color w:val="000000"/>
          <w:lang w:eastAsia="lt-LT"/>
        </w:rPr>
        <w:t xml:space="preserve">rekomenduojama kompensuoti vaistinį preparatą </w:t>
      </w:r>
      <w:r w:rsidRPr="00471EC6">
        <w:rPr>
          <w:color w:val="000000"/>
          <w:lang w:eastAsia="lt-LT"/>
        </w:rPr>
        <w:t>pagal paraiškoje nurodytą indikaciją (arba jos dalį) su arba be skyrimo sąlygų, taikant ar netaikant PGS</w:t>
      </w:r>
      <w:r>
        <w:rPr>
          <w:color w:val="000000"/>
          <w:lang w:eastAsia="lt-LT"/>
        </w:rPr>
        <w:t xml:space="preserve">, </w:t>
      </w:r>
      <w:r w:rsidRPr="00471EC6">
        <w:rPr>
          <w:color w:val="000000"/>
          <w:lang w:eastAsia="lt-LT"/>
        </w:rPr>
        <w:t xml:space="preserve">kai vertinimo išvados atitinka </w:t>
      </w:r>
      <w:r w:rsidR="0086139E">
        <w:rPr>
          <w:color w:val="000000"/>
          <w:lang w:eastAsia="lt-LT"/>
        </w:rPr>
        <w:t>a</w:t>
      </w:r>
      <w:r w:rsidRPr="00471EC6">
        <w:rPr>
          <w:color w:val="000000"/>
          <w:lang w:eastAsia="lt-LT"/>
        </w:rPr>
        <w:t>prašo 29.1.2 ir 29.2.2 papunkčiuose numatytas sąlygas</w:t>
      </w:r>
      <w:r>
        <w:rPr>
          <w:color w:val="000000"/>
          <w:lang w:eastAsia="lt-LT"/>
        </w:rPr>
        <w:t>.</w:t>
      </w:r>
    </w:p>
    <w:p w14:paraId="48BEE35B" w14:textId="77777777" w:rsidR="00B811A4" w:rsidRDefault="00B811A4" w:rsidP="00B811A4">
      <w:pPr>
        <w:jc w:val="both"/>
        <w:rPr>
          <w:color w:val="000000"/>
          <w:lang w:eastAsia="lt-LT"/>
        </w:rPr>
      </w:pPr>
    </w:p>
    <w:p w14:paraId="42F3A222" w14:textId="77777777" w:rsidR="00B811A4" w:rsidRPr="0073329D" w:rsidRDefault="00B811A4" w:rsidP="00B811A4">
      <w:pPr>
        <w:tabs>
          <w:tab w:val="left" w:pos="426"/>
        </w:tabs>
        <w:jc w:val="both"/>
        <w:rPr>
          <w:b/>
          <w:lang w:eastAsia="lt-LT"/>
        </w:rPr>
      </w:pPr>
      <w:r w:rsidRPr="0089345A">
        <w:rPr>
          <w:b/>
          <w:lang w:eastAsia="lt-LT"/>
        </w:rPr>
        <w:t>4.3 Siūloma (-</w:t>
      </w:r>
      <w:proofErr w:type="spellStart"/>
      <w:r w:rsidRPr="0089345A">
        <w:rPr>
          <w:b/>
          <w:lang w:eastAsia="lt-LT"/>
        </w:rPr>
        <w:t>os</w:t>
      </w:r>
      <w:proofErr w:type="spellEnd"/>
      <w:r w:rsidRPr="0089345A">
        <w:rPr>
          <w:b/>
          <w:lang w:eastAsia="lt-LT"/>
        </w:rPr>
        <w:t>) kompensuoti terapinės indikacijos ir skyrimo sąlygos</w:t>
      </w:r>
      <w:r w:rsidRPr="0073329D">
        <w:rPr>
          <w:b/>
          <w:lang w:eastAsia="lt-LT"/>
        </w:rPr>
        <w:t xml:space="preserve"> </w:t>
      </w:r>
    </w:p>
    <w:p w14:paraId="179FBABC" w14:textId="77777777" w:rsidR="00B811A4" w:rsidRPr="0073329D" w:rsidRDefault="00B811A4" w:rsidP="00B811A4">
      <w:pPr>
        <w:tabs>
          <w:tab w:val="left" w:pos="426"/>
        </w:tabs>
        <w:jc w:val="both"/>
        <w:rPr>
          <w:b/>
          <w:lang w:eastAsia="lt-LT"/>
        </w:rPr>
      </w:pPr>
    </w:p>
    <w:p w14:paraId="65CB839B" w14:textId="77777777" w:rsidR="00B811A4" w:rsidRDefault="00B811A4" w:rsidP="00B811A4">
      <w:pPr>
        <w:pStyle w:val="Betarp"/>
        <w:rPr>
          <w:rFonts w:ascii="Times New Roman" w:hAnsi="Times New Roman"/>
          <w:b/>
          <w:sz w:val="24"/>
          <w:szCs w:val="24"/>
          <w:lang w:eastAsia="lt-LT"/>
        </w:rPr>
      </w:pPr>
      <w:r w:rsidRPr="0073329D">
        <w:rPr>
          <w:rFonts w:ascii="Times New Roman" w:hAnsi="Times New Roman"/>
          <w:b/>
          <w:sz w:val="24"/>
          <w:szCs w:val="24"/>
          <w:lang w:eastAsia="lt-LT"/>
        </w:rPr>
        <w:t>Terapinės indikacijos</w:t>
      </w:r>
    </w:p>
    <w:p w14:paraId="7B4E8AE4" w14:textId="77777777" w:rsidR="00E71516" w:rsidRPr="00470220" w:rsidRDefault="00E71516" w:rsidP="00E71516">
      <w:pPr>
        <w:jc w:val="both"/>
      </w:pPr>
      <w:r w:rsidRPr="00470220">
        <w:t>Skirtas suaugusiesiems, sergantiems lėtine inkstų liga, gydyti.</w:t>
      </w:r>
    </w:p>
    <w:p w14:paraId="3BC08150" w14:textId="77777777" w:rsidR="00B811A4" w:rsidRPr="0073329D" w:rsidRDefault="00B811A4" w:rsidP="00B811A4">
      <w:pPr>
        <w:pStyle w:val="Betarp"/>
        <w:rPr>
          <w:rFonts w:ascii="Times New Roman" w:hAnsi="Times New Roman"/>
          <w:sz w:val="24"/>
          <w:szCs w:val="24"/>
        </w:rPr>
      </w:pPr>
    </w:p>
    <w:p w14:paraId="632DB4B9" w14:textId="77777777" w:rsidR="00B811A4" w:rsidRDefault="00B811A4" w:rsidP="00AF79FF">
      <w:pPr>
        <w:pStyle w:val="Betarp"/>
        <w:spacing w:line="276" w:lineRule="auto"/>
        <w:rPr>
          <w:rFonts w:ascii="Times New Roman" w:hAnsi="Times New Roman"/>
          <w:b/>
          <w:sz w:val="24"/>
          <w:szCs w:val="24"/>
        </w:rPr>
      </w:pPr>
      <w:r w:rsidRPr="0073329D">
        <w:rPr>
          <w:rFonts w:ascii="Times New Roman" w:hAnsi="Times New Roman"/>
          <w:b/>
          <w:sz w:val="24"/>
          <w:szCs w:val="24"/>
        </w:rPr>
        <w:t>Skyrimo sąlygos</w:t>
      </w:r>
    </w:p>
    <w:p w14:paraId="0CC7F8FF" w14:textId="77777777" w:rsidR="00DD2396" w:rsidRPr="00470220" w:rsidRDefault="00DD2396" w:rsidP="00DD2396">
      <w:pPr>
        <w:pStyle w:val="Betarp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70220">
        <w:rPr>
          <w:rFonts w:ascii="Times New Roman" w:hAnsi="Times New Roman"/>
          <w:sz w:val="24"/>
          <w:szCs w:val="24"/>
          <w:lang w:eastAsia="lt-LT"/>
        </w:rPr>
        <w:t xml:space="preserve">Skiriamas standartinio gydymo papildymui pacientams, vartojantiems didžiausias patvirtintas toleruojamas AKF inhibitorių arba </w:t>
      </w:r>
      <w:proofErr w:type="spellStart"/>
      <w:r w:rsidRPr="00470220">
        <w:rPr>
          <w:rFonts w:ascii="Times New Roman" w:hAnsi="Times New Roman"/>
          <w:sz w:val="24"/>
          <w:szCs w:val="24"/>
          <w:lang w:eastAsia="lt-LT"/>
        </w:rPr>
        <w:t>angiotenzino</w:t>
      </w:r>
      <w:proofErr w:type="spellEnd"/>
      <w:r w:rsidRPr="00470220">
        <w:rPr>
          <w:rFonts w:ascii="Times New Roman" w:hAnsi="Times New Roman"/>
          <w:sz w:val="24"/>
          <w:szCs w:val="24"/>
          <w:lang w:eastAsia="lt-LT"/>
        </w:rPr>
        <w:t xml:space="preserve"> receptorių blokatorių dozes (nebent jie </w:t>
      </w:r>
      <w:proofErr w:type="spellStart"/>
      <w:r w:rsidRPr="00470220">
        <w:rPr>
          <w:rFonts w:ascii="Times New Roman" w:hAnsi="Times New Roman"/>
          <w:sz w:val="24"/>
          <w:szCs w:val="24"/>
          <w:lang w:eastAsia="lt-LT"/>
        </w:rPr>
        <w:t>kontraindikuotini</w:t>
      </w:r>
      <w:proofErr w:type="spellEnd"/>
      <w:r w:rsidRPr="00470220">
        <w:rPr>
          <w:rFonts w:ascii="Times New Roman" w:hAnsi="Times New Roman"/>
          <w:sz w:val="24"/>
          <w:szCs w:val="24"/>
          <w:lang w:eastAsia="lt-LT"/>
        </w:rPr>
        <w:t xml:space="preserve">), kurių apskaičiuotas GFG prieš pradedant gydymą </w:t>
      </w:r>
      <w:proofErr w:type="spellStart"/>
      <w:r w:rsidRPr="00470220">
        <w:rPr>
          <w:rFonts w:ascii="Times New Roman" w:hAnsi="Times New Roman"/>
          <w:sz w:val="24"/>
          <w:szCs w:val="24"/>
          <w:lang w:eastAsia="lt-LT"/>
        </w:rPr>
        <w:t>empagliflozinu</w:t>
      </w:r>
      <w:proofErr w:type="spellEnd"/>
      <w:r w:rsidRPr="00470220">
        <w:rPr>
          <w:rFonts w:ascii="Times New Roman" w:hAnsi="Times New Roman"/>
          <w:sz w:val="24"/>
          <w:szCs w:val="24"/>
          <w:lang w:eastAsia="lt-LT"/>
        </w:rPr>
        <w:t xml:space="preserve"> yra 25–90 ml/min/1,73 m</w:t>
      </w:r>
      <w:r w:rsidRPr="00470220">
        <w:rPr>
          <w:rFonts w:ascii="Times New Roman" w:hAnsi="Times New Roman"/>
          <w:sz w:val="24"/>
          <w:szCs w:val="24"/>
          <w:vertAlign w:val="superscript"/>
          <w:lang w:eastAsia="lt-LT"/>
        </w:rPr>
        <w:t>2</w:t>
      </w:r>
      <w:r w:rsidRPr="00470220">
        <w:rPr>
          <w:rFonts w:ascii="Times New Roman" w:hAnsi="Times New Roman"/>
          <w:sz w:val="24"/>
          <w:szCs w:val="24"/>
        </w:rPr>
        <w:t>.</w:t>
      </w:r>
    </w:p>
    <w:p w14:paraId="33B8DE04" w14:textId="77777777" w:rsidR="00283E59" w:rsidRDefault="00283E59" w:rsidP="00283E59">
      <w:pPr>
        <w:widowControl w:val="0"/>
        <w:tabs>
          <w:tab w:val="left" w:pos="1418"/>
        </w:tabs>
        <w:suppressAutoHyphens/>
        <w:spacing w:line="360" w:lineRule="atLeast"/>
        <w:jc w:val="center"/>
        <w:textAlignment w:val="center"/>
      </w:pPr>
      <w:r>
        <w:rPr>
          <w:color w:val="000000"/>
          <w:lang w:eastAsia="lt-LT"/>
        </w:rPr>
        <w:t>____________________________</w:t>
      </w:r>
    </w:p>
    <w:p w14:paraId="562A1372" w14:textId="77777777" w:rsidR="00283E59" w:rsidRDefault="00283E59" w:rsidP="00283E59">
      <w:pPr>
        <w:jc w:val="both"/>
        <w:rPr>
          <w:b/>
          <w:sz w:val="20"/>
        </w:rPr>
      </w:pPr>
    </w:p>
    <w:sectPr w:rsidR="00283E59" w:rsidSect="00063A50">
      <w:headerReference w:type="first" r:id="rId9"/>
      <w:footerReference w:type="first" r:id="rId10"/>
      <w:pgSz w:w="11907" w:h="16840" w:code="9"/>
      <w:pgMar w:top="1134" w:right="567" w:bottom="1134" w:left="1701" w:header="646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2F5C4" w14:textId="77777777" w:rsidR="00BC2D10" w:rsidRDefault="00BC2D10">
      <w:r>
        <w:separator/>
      </w:r>
    </w:p>
  </w:endnote>
  <w:endnote w:type="continuationSeparator" w:id="0">
    <w:p w14:paraId="42AD75F4" w14:textId="77777777" w:rsidR="00BC2D10" w:rsidRDefault="00BC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3368" w14:textId="77777777" w:rsidR="00347FAA" w:rsidRDefault="00347FAA">
    <w:pPr>
      <w:pStyle w:val="Porat"/>
      <w:jc w:val="right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AF087" w14:textId="77777777" w:rsidR="00BC2D10" w:rsidRDefault="00BC2D10">
      <w:r>
        <w:separator/>
      </w:r>
    </w:p>
  </w:footnote>
  <w:footnote w:type="continuationSeparator" w:id="0">
    <w:p w14:paraId="5DCEEB7A" w14:textId="77777777" w:rsidR="00BC2D10" w:rsidRDefault="00BC2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1C8F" w14:textId="77777777" w:rsidR="00347FAA" w:rsidRDefault="00347FAA" w:rsidP="00FD793C">
    <w:pPr>
      <w:pStyle w:val="Antrats"/>
      <w:ind w:left="612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7D8E"/>
    <w:multiLevelType w:val="hybridMultilevel"/>
    <w:tmpl w:val="10FAC1C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276250"/>
    <w:multiLevelType w:val="hybridMultilevel"/>
    <w:tmpl w:val="3B6C29F4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0081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28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AD2E58"/>
    <w:multiLevelType w:val="hybridMultilevel"/>
    <w:tmpl w:val="F6943F7A"/>
    <w:lvl w:ilvl="0" w:tplc="AB64BC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01C59"/>
    <w:multiLevelType w:val="hybridMultilevel"/>
    <w:tmpl w:val="64544F3A"/>
    <w:lvl w:ilvl="0" w:tplc="042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A816B09"/>
    <w:multiLevelType w:val="hybridMultilevel"/>
    <w:tmpl w:val="8FBEE17A"/>
    <w:lvl w:ilvl="0" w:tplc="0427000F">
      <w:start w:val="16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81" w:hanging="360"/>
      </w:pPr>
    </w:lvl>
    <w:lvl w:ilvl="2" w:tplc="0427001B" w:tentative="1">
      <w:start w:val="1"/>
      <w:numFmt w:val="lowerRoman"/>
      <w:lvlText w:val="%3."/>
      <w:lvlJc w:val="right"/>
      <w:pPr>
        <w:ind w:left="2301" w:hanging="180"/>
      </w:pPr>
    </w:lvl>
    <w:lvl w:ilvl="3" w:tplc="0427000F" w:tentative="1">
      <w:start w:val="1"/>
      <w:numFmt w:val="decimal"/>
      <w:lvlText w:val="%4."/>
      <w:lvlJc w:val="left"/>
      <w:pPr>
        <w:ind w:left="3021" w:hanging="360"/>
      </w:pPr>
    </w:lvl>
    <w:lvl w:ilvl="4" w:tplc="04270019" w:tentative="1">
      <w:start w:val="1"/>
      <w:numFmt w:val="lowerLetter"/>
      <w:lvlText w:val="%5."/>
      <w:lvlJc w:val="left"/>
      <w:pPr>
        <w:ind w:left="3741" w:hanging="360"/>
      </w:pPr>
    </w:lvl>
    <w:lvl w:ilvl="5" w:tplc="0427001B" w:tentative="1">
      <w:start w:val="1"/>
      <w:numFmt w:val="lowerRoman"/>
      <w:lvlText w:val="%6."/>
      <w:lvlJc w:val="right"/>
      <w:pPr>
        <w:ind w:left="4461" w:hanging="180"/>
      </w:pPr>
    </w:lvl>
    <w:lvl w:ilvl="6" w:tplc="0427000F" w:tentative="1">
      <w:start w:val="1"/>
      <w:numFmt w:val="decimal"/>
      <w:lvlText w:val="%7."/>
      <w:lvlJc w:val="left"/>
      <w:pPr>
        <w:ind w:left="5181" w:hanging="360"/>
      </w:pPr>
    </w:lvl>
    <w:lvl w:ilvl="7" w:tplc="04270019" w:tentative="1">
      <w:start w:val="1"/>
      <w:numFmt w:val="lowerLetter"/>
      <w:lvlText w:val="%8."/>
      <w:lvlJc w:val="left"/>
      <w:pPr>
        <w:ind w:left="5901" w:hanging="360"/>
      </w:pPr>
    </w:lvl>
    <w:lvl w:ilvl="8" w:tplc="0427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3975004F"/>
    <w:multiLevelType w:val="hybridMultilevel"/>
    <w:tmpl w:val="13E4607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CC4222"/>
    <w:multiLevelType w:val="multilevel"/>
    <w:tmpl w:val="C9C6278E"/>
    <w:lvl w:ilvl="0">
      <w:start w:val="2"/>
      <w:numFmt w:val="decimal"/>
      <w:lvlText w:val="%1."/>
      <w:lvlJc w:val="left"/>
      <w:pPr>
        <w:ind w:left="360" w:hanging="360"/>
      </w:pPr>
      <w:rPr>
        <w:rFonts w:eastAsia="Arial Unicode MS"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Arial Unicode MS" w:hint="default"/>
      </w:rPr>
    </w:lvl>
  </w:abstractNum>
  <w:abstractNum w:abstractNumId="8" w15:restartNumberingAfterBreak="0">
    <w:nsid w:val="41953EAB"/>
    <w:multiLevelType w:val="hybridMultilevel"/>
    <w:tmpl w:val="D0F01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B019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B83C1B"/>
    <w:multiLevelType w:val="multilevel"/>
    <w:tmpl w:val="5F3843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1" w15:restartNumberingAfterBreak="0">
    <w:nsid w:val="5A0D73F3"/>
    <w:multiLevelType w:val="hybridMultilevel"/>
    <w:tmpl w:val="CA9A2AC8"/>
    <w:lvl w:ilvl="0" w:tplc="042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3535BD"/>
    <w:multiLevelType w:val="hybridMultilevel"/>
    <w:tmpl w:val="FEDE2D78"/>
    <w:lvl w:ilvl="0" w:tplc="FFFFFFFF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AB27E1E"/>
    <w:multiLevelType w:val="hybridMultilevel"/>
    <w:tmpl w:val="3D568A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B6F37"/>
    <w:multiLevelType w:val="hybridMultilevel"/>
    <w:tmpl w:val="28C0B01C"/>
    <w:lvl w:ilvl="0" w:tplc="4D1ED00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66018"/>
    <w:multiLevelType w:val="hybridMultilevel"/>
    <w:tmpl w:val="AA9C98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14286">
    <w:abstractNumId w:val="8"/>
  </w:num>
  <w:num w:numId="2" w16cid:durableId="974027046">
    <w:abstractNumId w:val="2"/>
  </w:num>
  <w:num w:numId="3" w16cid:durableId="1473519277">
    <w:abstractNumId w:val="10"/>
  </w:num>
  <w:num w:numId="4" w16cid:durableId="1218511638">
    <w:abstractNumId w:val="9"/>
  </w:num>
  <w:num w:numId="5" w16cid:durableId="2118865422">
    <w:abstractNumId w:val="7"/>
  </w:num>
  <w:num w:numId="6" w16cid:durableId="1017005859">
    <w:abstractNumId w:val="6"/>
  </w:num>
  <w:num w:numId="7" w16cid:durableId="1576932398">
    <w:abstractNumId w:val="4"/>
  </w:num>
  <w:num w:numId="8" w16cid:durableId="369696263">
    <w:abstractNumId w:val="15"/>
  </w:num>
  <w:num w:numId="9" w16cid:durableId="2062628832">
    <w:abstractNumId w:val="0"/>
  </w:num>
  <w:num w:numId="10" w16cid:durableId="1030688407">
    <w:abstractNumId w:val="11"/>
  </w:num>
  <w:num w:numId="11" w16cid:durableId="592932888">
    <w:abstractNumId w:val="13"/>
  </w:num>
  <w:num w:numId="12" w16cid:durableId="887575004">
    <w:abstractNumId w:val="3"/>
  </w:num>
  <w:num w:numId="13" w16cid:durableId="675310411">
    <w:abstractNumId w:val="5"/>
  </w:num>
  <w:num w:numId="14" w16cid:durableId="1590772021">
    <w:abstractNumId w:val="1"/>
  </w:num>
  <w:num w:numId="15" w16cid:durableId="1838809818">
    <w:abstractNumId w:val="14"/>
  </w:num>
  <w:num w:numId="16" w16cid:durableId="6674456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0E7"/>
    <w:rsid w:val="000001B0"/>
    <w:rsid w:val="00003F5B"/>
    <w:rsid w:val="000114DD"/>
    <w:rsid w:val="000136F7"/>
    <w:rsid w:val="000203E1"/>
    <w:rsid w:val="0002686C"/>
    <w:rsid w:val="00031387"/>
    <w:rsid w:val="00031D0E"/>
    <w:rsid w:val="000337E6"/>
    <w:rsid w:val="0003402E"/>
    <w:rsid w:val="00034EAE"/>
    <w:rsid w:val="00042924"/>
    <w:rsid w:val="000448C6"/>
    <w:rsid w:val="00052BD8"/>
    <w:rsid w:val="00053975"/>
    <w:rsid w:val="000542BA"/>
    <w:rsid w:val="00057A2B"/>
    <w:rsid w:val="000606BE"/>
    <w:rsid w:val="000624FF"/>
    <w:rsid w:val="00063A50"/>
    <w:rsid w:val="000647ED"/>
    <w:rsid w:val="000723FF"/>
    <w:rsid w:val="000736B8"/>
    <w:rsid w:val="0008190F"/>
    <w:rsid w:val="00081D9C"/>
    <w:rsid w:val="00082907"/>
    <w:rsid w:val="0008378D"/>
    <w:rsid w:val="00084481"/>
    <w:rsid w:val="000908A5"/>
    <w:rsid w:val="00092805"/>
    <w:rsid w:val="000A50C9"/>
    <w:rsid w:val="000B2B2C"/>
    <w:rsid w:val="000C454C"/>
    <w:rsid w:val="000D5038"/>
    <w:rsid w:val="000E29D4"/>
    <w:rsid w:val="000F3540"/>
    <w:rsid w:val="00100491"/>
    <w:rsid w:val="0010496E"/>
    <w:rsid w:val="00104E2E"/>
    <w:rsid w:val="00107287"/>
    <w:rsid w:val="00117194"/>
    <w:rsid w:val="00117406"/>
    <w:rsid w:val="00121EF0"/>
    <w:rsid w:val="00124A9E"/>
    <w:rsid w:val="0012653C"/>
    <w:rsid w:val="00130703"/>
    <w:rsid w:val="0013153F"/>
    <w:rsid w:val="001408B8"/>
    <w:rsid w:val="001466FE"/>
    <w:rsid w:val="001517E2"/>
    <w:rsid w:val="001521D9"/>
    <w:rsid w:val="001554E2"/>
    <w:rsid w:val="00164146"/>
    <w:rsid w:val="00164D64"/>
    <w:rsid w:val="0017369C"/>
    <w:rsid w:val="00175D57"/>
    <w:rsid w:val="00180C39"/>
    <w:rsid w:val="00180D96"/>
    <w:rsid w:val="00184BD3"/>
    <w:rsid w:val="001921F3"/>
    <w:rsid w:val="001A0CAA"/>
    <w:rsid w:val="001B3C5B"/>
    <w:rsid w:val="001C2FC8"/>
    <w:rsid w:val="001C6353"/>
    <w:rsid w:val="001D5B91"/>
    <w:rsid w:val="001D746F"/>
    <w:rsid w:val="001E08C9"/>
    <w:rsid w:val="001E0B2D"/>
    <w:rsid w:val="001E13AB"/>
    <w:rsid w:val="001E4BBB"/>
    <w:rsid w:val="001E6304"/>
    <w:rsid w:val="001F115E"/>
    <w:rsid w:val="0020381E"/>
    <w:rsid w:val="00213471"/>
    <w:rsid w:val="00215906"/>
    <w:rsid w:val="00241CD8"/>
    <w:rsid w:val="00244ADB"/>
    <w:rsid w:val="00244B09"/>
    <w:rsid w:val="002519CB"/>
    <w:rsid w:val="0025697F"/>
    <w:rsid w:val="00260258"/>
    <w:rsid w:val="0026588E"/>
    <w:rsid w:val="00272428"/>
    <w:rsid w:val="00272948"/>
    <w:rsid w:val="00283E59"/>
    <w:rsid w:val="00284A47"/>
    <w:rsid w:val="00292392"/>
    <w:rsid w:val="002946C7"/>
    <w:rsid w:val="002B3CC1"/>
    <w:rsid w:val="002C0686"/>
    <w:rsid w:val="002C09E0"/>
    <w:rsid w:val="002C100E"/>
    <w:rsid w:val="002C1BB1"/>
    <w:rsid w:val="002C2786"/>
    <w:rsid w:val="002C3A10"/>
    <w:rsid w:val="002C4A90"/>
    <w:rsid w:val="002C4ED5"/>
    <w:rsid w:val="002D02EF"/>
    <w:rsid w:val="002E0702"/>
    <w:rsid w:val="002E1A83"/>
    <w:rsid w:val="002E57AD"/>
    <w:rsid w:val="002E6F80"/>
    <w:rsid w:val="002F0E4F"/>
    <w:rsid w:val="002F1053"/>
    <w:rsid w:val="00314816"/>
    <w:rsid w:val="00317B0E"/>
    <w:rsid w:val="00336238"/>
    <w:rsid w:val="00347FAA"/>
    <w:rsid w:val="0035172D"/>
    <w:rsid w:val="0035426C"/>
    <w:rsid w:val="00354C13"/>
    <w:rsid w:val="0036153E"/>
    <w:rsid w:val="0036187D"/>
    <w:rsid w:val="003667DF"/>
    <w:rsid w:val="00367EDB"/>
    <w:rsid w:val="003705F0"/>
    <w:rsid w:val="00381024"/>
    <w:rsid w:val="00386307"/>
    <w:rsid w:val="003874DE"/>
    <w:rsid w:val="00393E9F"/>
    <w:rsid w:val="0039696E"/>
    <w:rsid w:val="003A5030"/>
    <w:rsid w:val="003B211A"/>
    <w:rsid w:val="003C141F"/>
    <w:rsid w:val="003C6B0E"/>
    <w:rsid w:val="003C7257"/>
    <w:rsid w:val="003C7E35"/>
    <w:rsid w:val="003D1E99"/>
    <w:rsid w:val="003D6208"/>
    <w:rsid w:val="003E0324"/>
    <w:rsid w:val="00404E8A"/>
    <w:rsid w:val="0040622F"/>
    <w:rsid w:val="00413F24"/>
    <w:rsid w:val="00414459"/>
    <w:rsid w:val="00420EE1"/>
    <w:rsid w:val="00422853"/>
    <w:rsid w:val="00423160"/>
    <w:rsid w:val="00437623"/>
    <w:rsid w:val="00444A2B"/>
    <w:rsid w:val="00453862"/>
    <w:rsid w:val="0045469B"/>
    <w:rsid w:val="004558D0"/>
    <w:rsid w:val="00461338"/>
    <w:rsid w:val="004677DB"/>
    <w:rsid w:val="00470220"/>
    <w:rsid w:val="00476256"/>
    <w:rsid w:val="00485489"/>
    <w:rsid w:val="0048630F"/>
    <w:rsid w:val="004947A1"/>
    <w:rsid w:val="0049482A"/>
    <w:rsid w:val="004979D3"/>
    <w:rsid w:val="004A00E7"/>
    <w:rsid w:val="004A3A61"/>
    <w:rsid w:val="004B59BA"/>
    <w:rsid w:val="004B5A03"/>
    <w:rsid w:val="004C263A"/>
    <w:rsid w:val="004C6221"/>
    <w:rsid w:val="004D48A6"/>
    <w:rsid w:val="004D70B6"/>
    <w:rsid w:val="004D7B8F"/>
    <w:rsid w:val="004E241F"/>
    <w:rsid w:val="004E6458"/>
    <w:rsid w:val="004E6E7D"/>
    <w:rsid w:val="004F1AAC"/>
    <w:rsid w:val="004F1AE2"/>
    <w:rsid w:val="004F34F0"/>
    <w:rsid w:val="004F3B2B"/>
    <w:rsid w:val="004F6050"/>
    <w:rsid w:val="005005EF"/>
    <w:rsid w:val="005123C2"/>
    <w:rsid w:val="0052144B"/>
    <w:rsid w:val="00524066"/>
    <w:rsid w:val="00526A0F"/>
    <w:rsid w:val="00534E11"/>
    <w:rsid w:val="005378D8"/>
    <w:rsid w:val="005400D9"/>
    <w:rsid w:val="005476A4"/>
    <w:rsid w:val="0055019B"/>
    <w:rsid w:val="00556E63"/>
    <w:rsid w:val="005601A4"/>
    <w:rsid w:val="00566DBB"/>
    <w:rsid w:val="00567B14"/>
    <w:rsid w:val="005767DB"/>
    <w:rsid w:val="005815E6"/>
    <w:rsid w:val="0058712F"/>
    <w:rsid w:val="005976CE"/>
    <w:rsid w:val="005A23D4"/>
    <w:rsid w:val="005A2D1E"/>
    <w:rsid w:val="005A4698"/>
    <w:rsid w:val="005B3756"/>
    <w:rsid w:val="005C0D18"/>
    <w:rsid w:val="005C493F"/>
    <w:rsid w:val="005C6BF7"/>
    <w:rsid w:val="005C71BF"/>
    <w:rsid w:val="005D002C"/>
    <w:rsid w:val="005D30E1"/>
    <w:rsid w:val="005D6555"/>
    <w:rsid w:val="005D7BDF"/>
    <w:rsid w:val="005E4870"/>
    <w:rsid w:val="005F71D9"/>
    <w:rsid w:val="005F7602"/>
    <w:rsid w:val="006062BE"/>
    <w:rsid w:val="00613143"/>
    <w:rsid w:val="00613501"/>
    <w:rsid w:val="0061611B"/>
    <w:rsid w:val="006166A8"/>
    <w:rsid w:val="006174A1"/>
    <w:rsid w:val="00621D6C"/>
    <w:rsid w:val="00633B49"/>
    <w:rsid w:val="0064297F"/>
    <w:rsid w:val="00645102"/>
    <w:rsid w:val="00646CF3"/>
    <w:rsid w:val="00646D72"/>
    <w:rsid w:val="00653D11"/>
    <w:rsid w:val="00662983"/>
    <w:rsid w:val="006669B6"/>
    <w:rsid w:val="006834D3"/>
    <w:rsid w:val="00686974"/>
    <w:rsid w:val="00692625"/>
    <w:rsid w:val="00695CD3"/>
    <w:rsid w:val="006A38B6"/>
    <w:rsid w:val="006B02E7"/>
    <w:rsid w:val="006B1987"/>
    <w:rsid w:val="006B32E9"/>
    <w:rsid w:val="006B5B71"/>
    <w:rsid w:val="006B5D3E"/>
    <w:rsid w:val="006B6CB0"/>
    <w:rsid w:val="006C2B64"/>
    <w:rsid w:val="006D1BF3"/>
    <w:rsid w:val="006D4C85"/>
    <w:rsid w:val="006D66AC"/>
    <w:rsid w:val="006E33F6"/>
    <w:rsid w:val="006F1251"/>
    <w:rsid w:val="006F1C23"/>
    <w:rsid w:val="006F57D2"/>
    <w:rsid w:val="00702C18"/>
    <w:rsid w:val="00703166"/>
    <w:rsid w:val="007111C4"/>
    <w:rsid w:val="007127F3"/>
    <w:rsid w:val="00721D8D"/>
    <w:rsid w:val="007268C9"/>
    <w:rsid w:val="007301CF"/>
    <w:rsid w:val="007316FB"/>
    <w:rsid w:val="00737E2D"/>
    <w:rsid w:val="007424D5"/>
    <w:rsid w:val="00745C63"/>
    <w:rsid w:val="00750A88"/>
    <w:rsid w:val="007523DD"/>
    <w:rsid w:val="00757B7E"/>
    <w:rsid w:val="007656B2"/>
    <w:rsid w:val="0077016F"/>
    <w:rsid w:val="007713AD"/>
    <w:rsid w:val="00795DC5"/>
    <w:rsid w:val="00797153"/>
    <w:rsid w:val="007A21F7"/>
    <w:rsid w:val="007A2B68"/>
    <w:rsid w:val="007B09B5"/>
    <w:rsid w:val="007B0DDA"/>
    <w:rsid w:val="007B3886"/>
    <w:rsid w:val="007D3347"/>
    <w:rsid w:val="007D5C46"/>
    <w:rsid w:val="007D654E"/>
    <w:rsid w:val="007E5466"/>
    <w:rsid w:val="007F1949"/>
    <w:rsid w:val="007F2592"/>
    <w:rsid w:val="00800A08"/>
    <w:rsid w:val="00811DD6"/>
    <w:rsid w:val="00817A84"/>
    <w:rsid w:val="008225A4"/>
    <w:rsid w:val="00824B92"/>
    <w:rsid w:val="00826D5E"/>
    <w:rsid w:val="00832013"/>
    <w:rsid w:val="00832DB7"/>
    <w:rsid w:val="00834732"/>
    <w:rsid w:val="0085200C"/>
    <w:rsid w:val="00857C52"/>
    <w:rsid w:val="00860D5F"/>
    <w:rsid w:val="0086139E"/>
    <w:rsid w:val="0087188A"/>
    <w:rsid w:val="00880A44"/>
    <w:rsid w:val="0088345E"/>
    <w:rsid w:val="0088366C"/>
    <w:rsid w:val="0088656F"/>
    <w:rsid w:val="008875BC"/>
    <w:rsid w:val="00891EF6"/>
    <w:rsid w:val="00892FF4"/>
    <w:rsid w:val="0089345A"/>
    <w:rsid w:val="008A0303"/>
    <w:rsid w:val="008A5FDD"/>
    <w:rsid w:val="008C3947"/>
    <w:rsid w:val="008D1403"/>
    <w:rsid w:val="008E473B"/>
    <w:rsid w:val="008E51A6"/>
    <w:rsid w:val="008E7329"/>
    <w:rsid w:val="008F2ED5"/>
    <w:rsid w:val="0092297E"/>
    <w:rsid w:val="00923292"/>
    <w:rsid w:val="00923651"/>
    <w:rsid w:val="00924719"/>
    <w:rsid w:val="00924DF7"/>
    <w:rsid w:val="00927B56"/>
    <w:rsid w:val="009341BF"/>
    <w:rsid w:val="00937907"/>
    <w:rsid w:val="00941739"/>
    <w:rsid w:val="00951573"/>
    <w:rsid w:val="00963003"/>
    <w:rsid w:val="00965919"/>
    <w:rsid w:val="00966EEF"/>
    <w:rsid w:val="00971B28"/>
    <w:rsid w:val="00983471"/>
    <w:rsid w:val="009909AB"/>
    <w:rsid w:val="009B37DB"/>
    <w:rsid w:val="009C7A8C"/>
    <w:rsid w:val="009D23F9"/>
    <w:rsid w:val="009D4FA8"/>
    <w:rsid w:val="009E44AE"/>
    <w:rsid w:val="009E6CD6"/>
    <w:rsid w:val="009F1731"/>
    <w:rsid w:val="009F4D66"/>
    <w:rsid w:val="009F5B17"/>
    <w:rsid w:val="00A00C3C"/>
    <w:rsid w:val="00A01091"/>
    <w:rsid w:val="00A042B9"/>
    <w:rsid w:val="00A06DBB"/>
    <w:rsid w:val="00A22ADF"/>
    <w:rsid w:val="00A2310D"/>
    <w:rsid w:val="00A254A2"/>
    <w:rsid w:val="00A31E86"/>
    <w:rsid w:val="00A41732"/>
    <w:rsid w:val="00A47F1F"/>
    <w:rsid w:val="00A54D87"/>
    <w:rsid w:val="00A5553C"/>
    <w:rsid w:val="00A701C9"/>
    <w:rsid w:val="00A81785"/>
    <w:rsid w:val="00A84803"/>
    <w:rsid w:val="00A84C51"/>
    <w:rsid w:val="00A86F2B"/>
    <w:rsid w:val="00A91366"/>
    <w:rsid w:val="00A92F91"/>
    <w:rsid w:val="00A93AA6"/>
    <w:rsid w:val="00AA4E48"/>
    <w:rsid w:val="00AA6202"/>
    <w:rsid w:val="00AA7B57"/>
    <w:rsid w:val="00AB2806"/>
    <w:rsid w:val="00AB2D54"/>
    <w:rsid w:val="00AC26FC"/>
    <w:rsid w:val="00AC3A1D"/>
    <w:rsid w:val="00AC4A99"/>
    <w:rsid w:val="00AC5129"/>
    <w:rsid w:val="00AC64D2"/>
    <w:rsid w:val="00AD02E7"/>
    <w:rsid w:val="00AE0FE8"/>
    <w:rsid w:val="00AF60D5"/>
    <w:rsid w:val="00AF79FF"/>
    <w:rsid w:val="00B00959"/>
    <w:rsid w:val="00B04415"/>
    <w:rsid w:val="00B04AB2"/>
    <w:rsid w:val="00B06509"/>
    <w:rsid w:val="00B11D60"/>
    <w:rsid w:val="00B13D65"/>
    <w:rsid w:val="00B21805"/>
    <w:rsid w:val="00B22E9A"/>
    <w:rsid w:val="00B3072E"/>
    <w:rsid w:val="00B36E15"/>
    <w:rsid w:val="00B37245"/>
    <w:rsid w:val="00B4017A"/>
    <w:rsid w:val="00B4468D"/>
    <w:rsid w:val="00B71C72"/>
    <w:rsid w:val="00B71F04"/>
    <w:rsid w:val="00B74A62"/>
    <w:rsid w:val="00B811A4"/>
    <w:rsid w:val="00B81E92"/>
    <w:rsid w:val="00B84330"/>
    <w:rsid w:val="00B908D7"/>
    <w:rsid w:val="00B935E8"/>
    <w:rsid w:val="00B93B30"/>
    <w:rsid w:val="00B94CB5"/>
    <w:rsid w:val="00BA0DD9"/>
    <w:rsid w:val="00BA5DBC"/>
    <w:rsid w:val="00BA6584"/>
    <w:rsid w:val="00BB6312"/>
    <w:rsid w:val="00BC2D10"/>
    <w:rsid w:val="00BC33CB"/>
    <w:rsid w:val="00BC39C2"/>
    <w:rsid w:val="00BC4D06"/>
    <w:rsid w:val="00BD05E1"/>
    <w:rsid w:val="00BD585E"/>
    <w:rsid w:val="00BD6919"/>
    <w:rsid w:val="00BE1EA7"/>
    <w:rsid w:val="00BE7489"/>
    <w:rsid w:val="00BF02C2"/>
    <w:rsid w:val="00BF2E0D"/>
    <w:rsid w:val="00BF3927"/>
    <w:rsid w:val="00BF3F8B"/>
    <w:rsid w:val="00BF76DA"/>
    <w:rsid w:val="00C00CDB"/>
    <w:rsid w:val="00C07C7B"/>
    <w:rsid w:val="00C15173"/>
    <w:rsid w:val="00C16245"/>
    <w:rsid w:val="00C22DC5"/>
    <w:rsid w:val="00C24479"/>
    <w:rsid w:val="00C273F2"/>
    <w:rsid w:val="00C306B8"/>
    <w:rsid w:val="00C37B53"/>
    <w:rsid w:val="00C434EB"/>
    <w:rsid w:val="00C517D2"/>
    <w:rsid w:val="00C5772E"/>
    <w:rsid w:val="00C62B36"/>
    <w:rsid w:val="00C7012C"/>
    <w:rsid w:val="00C712EA"/>
    <w:rsid w:val="00C82E12"/>
    <w:rsid w:val="00C8705B"/>
    <w:rsid w:val="00C9728E"/>
    <w:rsid w:val="00CA217D"/>
    <w:rsid w:val="00CA3131"/>
    <w:rsid w:val="00CA5A47"/>
    <w:rsid w:val="00CC09D4"/>
    <w:rsid w:val="00CC4F5F"/>
    <w:rsid w:val="00CC668D"/>
    <w:rsid w:val="00CC7832"/>
    <w:rsid w:val="00CD488E"/>
    <w:rsid w:val="00CE4B0B"/>
    <w:rsid w:val="00CF0C1C"/>
    <w:rsid w:val="00CF27FD"/>
    <w:rsid w:val="00CF52EC"/>
    <w:rsid w:val="00CF5F12"/>
    <w:rsid w:val="00D00D8F"/>
    <w:rsid w:val="00D12869"/>
    <w:rsid w:val="00D12E39"/>
    <w:rsid w:val="00D14512"/>
    <w:rsid w:val="00D15ED6"/>
    <w:rsid w:val="00D21F3A"/>
    <w:rsid w:val="00D23808"/>
    <w:rsid w:val="00D3016A"/>
    <w:rsid w:val="00D31B93"/>
    <w:rsid w:val="00D33ED9"/>
    <w:rsid w:val="00D417D2"/>
    <w:rsid w:val="00D42960"/>
    <w:rsid w:val="00D43BD7"/>
    <w:rsid w:val="00D4485B"/>
    <w:rsid w:val="00D46CCD"/>
    <w:rsid w:val="00D4708D"/>
    <w:rsid w:val="00D4744C"/>
    <w:rsid w:val="00D51046"/>
    <w:rsid w:val="00D521DE"/>
    <w:rsid w:val="00D52251"/>
    <w:rsid w:val="00D5470B"/>
    <w:rsid w:val="00D63068"/>
    <w:rsid w:val="00D6498C"/>
    <w:rsid w:val="00D66D00"/>
    <w:rsid w:val="00D66EC8"/>
    <w:rsid w:val="00D67BAF"/>
    <w:rsid w:val="00D7389C"/>
    <w:rsid w:val="00D76A70"/>
    <w:rsid w:val="00D83182"/>
    <w:rsid w:val="00D8521E"/>
    <w:rsid w:val="00D9291C"/>
    <w:rsid w:val="00D93A97"/>
    <w:rsid w:val="00DA5602"/>
    <w:rsid w:val="00DB07E1"/>
    <w:rsid w:val="00DB1F64"/>
    <w:rsid w:val="00DB20C6"/>
    <w:rsid w:val="00DC261A"/>
    <w:rsid w:val="00DC2F53"/>
    <w:rsid w:val="00DC5BAC"/>
    <w:rsid w:val="00DC6816"/>
    <w:rsid w:val="00DC76C2"/>
    <w:rsid w:val="00DD1CF2"/>
    <w:rsid w:val="00DD2396"/>
    <w:rsid w:val="00DE4484"/>
    <w:rsid w:val="00DF2637"/>
    <w:rsid w:val="00DF41B7"/>
    <w:rsid w:val="00DF4A4A"/>
    <w:rsid w:val="00DF583C"/>
    <w:rsid w:val="00E03C3F"/>
    <w:rsid w:val="00E06FD7"/>
    <w:rsid w:val="00E07417"/>
    <w:rsid w:val="00E138F5"/>
    <w:rsid w:val="00E24D45"/>
    <w:rsid w:val="00E33DB8"/>
    <w:rsid w:val="00E33EFF"/>
    <w:rsid w:val="00E34387"/>
    <w:rsid w:val="00E348BA"/>
    <w:rsid w:val="00E369FE"/>
    <w:rsid w:val="00E37C6F"/>
    <w:rsid w:val="00E475F8"/>
    <w:rsid w:val="00E5102E"/>
    <w:rsid w:val="00E5721C"/>
    <w:rsid w:val="00E619C6"/>
    <w:rsid w:val="00E70CED"/>
    <w:rsid w:val="00E71516"/>
    <w:rsid w:val="00E745A1"/>
    <w:rsid w:val="00E80033"/>
    <w:rsid w:val="00E81529"/>
    <w:rsid w:val="00E83A13"/>
    <w:rsid w:val="00E8590A"/>
    <w:rsid w:val="00E93BE8"/>
    <w:rsid w:val="00EB1151"/>
    <w:rsid w:val="00EB6FC5"/>
    <w:rsid w:val="00EC2356"/>
    <w:rsid w:val="00EC2582"/>
    <w:rsid w:val="00EC337C"/>
    <w:rsid w:val="00ED0CFF"/>
    <w:rsid w:val="00ED31D2"/>
    <w:rsid w:val="00EE0EAC"/>
    <w:rsid w:val="00EE3322"/>
    <w:rsid w:val="00EE33CB"/>
    <w:rsid w:val="00F0061A"/>
    <w:rsid w:val="00F02834"/>
    <w:rsid w:val="00F04EEB"/>
    <w:rsid w:val="00F05467"/>
    <w:rsid w:val="00F055D2"/>
    <w:rsid w:val="00F07CD7"/>
    <w:rsid w:val="00F127E9"/>
    <w:rsid w:val="00F12FA0"/>
    <w:rsid w:val="00F14477"/>
    <w:rsid w:val="00F14B5D"/>
    <w:rsid w:val="00F259FC"/>
    <w:rsid w:val="00F27E97"/>
    <w:rsid w:val="00F313F4"/>
    <w:rsid w:val="00F36972"/>
    <w:rsid w:val="00F42426"/>
    <w:rsid w:val="00F44F01"/>
    <w:rsid w:val="00F456BC"/>
    <w:rsid w:val="00F50666"/>
    <w:rsid w:val="00F70731"/>
    <w:rsid w:val="00F70C9E"/>
    <w:rsid w:val="00F74A74"/>
    <w:rsid w:val="00F7572C"/>
    <w:rsid w:val="00F8382C"/>
    <w:rsid w:val="00F855D7"/>
    <w:rsid w:val="00F92035"/>
    <w:rsid w:val="00F92748"/>
    <w:rsid w:val="00FA4169"/>
    <w:rsid w:val="00FB0D41"/>
    <w:rsid w:val="00FB2030"/>
    <w:rsid w:val="00FD0E46"/>
    <w:rsid w:val="00FD1060"/>
    <w:rsid w:val="00FD1CF2"/>
    <w:rsid w:val="00FD3EDF"/>
    <w:rsid w:val="00FD793C"/>
    <w:rsid w:val="00FE0FD5"/>
    <w:rsid w:val="00FE20E6"/>
    <w:rsid w:val="00FE3AB1"/>
    <w:rsid w:val="00FE3E3B"/>
    <w:rsid w:val="00FE5878"/>
    <w:rsid w:val="00FF4032"/>
    <w:rsid w:val="00FF4A2E"/>
    <w:rsid w:val="00FF6469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FE6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81529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A84C51"/>
    <w:pPr>
      <w:keepNext/>
      <w:jc w:val="center"/>
      <w:outlineLvl w:val="0"/>
    </w:pPr>
    <w:rPr>
      <w:b/>
      <w:bCs/>
      <w:caps/>
    </w:rPr>
  </w:style>
  <w:style w:type="paragraph" w:styleId="Antrat2">
    <w:name w:val="heading 2"/>
    <w:basedOn w:val="prastasis"/>
    <w:next w:val="prastasis"/>
    <w:qFormat/>
    <w:rsid w:val="00A84C51"/>
    <w:pPr>
      <w:keepNext/>
      <w:jc w:val="center"/>
      <w:outlineLvl w:val="1"/>
    </w:pPr>
    <w:rPr>
      <w:b/>
      <w:bCs/>
      <w:caps/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A84C51"/>
    <w:pPr>
      <w:tabs>
        <w:tab w:val="center" w:pos="4986"/>
        <w:tab w:val="right" w:pos="9972"/>
      </w:tabs>
    </w:pPr>
  </w:style>
  <w:style w:type="paragraph" w:styleId="Porat">
    <w:name w:val="footer"/>
    <w:basedOn w:val="prastasis"/>
    <w:link w:val="PoratDiagrama"/>
    <w:rsid w:val="00A84C51"/>
    <w:pPr>
      <w:tabs>
        <w:tab w:val="center" w:pos="4986"/>
        <w:tab w:val="right" w:pos="9972"/>
      </w:tabs>
    </w:pPr>
  </w:style>
  <w:style w:type="character" w:styleId="Puslapionumeris">
    <w:name w:val="page number"/>
    <w:basedOn w:val="Numatytasispastraiposriftas"/>
    <w:rsid w:val="00A84C51"/>
  </w:style>
  <w:style w:type="character" w:styleId="Hipersaitas">
    <w:name w:val="Hyperlink"/>
    <w:basedOn w:val="Numatytasispastraiposriftas"/>
    <w:rsid w:val="00A84C51"/>
    <w:rPr>
      <w:color w:val="0000FF"/>
      <w:u w:val="single"/>
    </w:rPr>
  </w:style>
  <w:style w:type="paragraph" w:styleId="Debesliotekstas">
    <w:name w:val="Balloon Text"/>
    <w:basedOn w:val="prastasis"/>
    <w:semiHidden/>
    <w:rsid w:val="00EC2356"/>
    <w:rPr>
      <w:rFonts w:ascii="Tahoma" w:hAnsi="Tahoma" w:cs="Tahoma"/>
      <w:sz w:val="16"/>
      <w:szCs w:val="16"/>
    </w:rPr>
  </w:style>
  <w:style w:type="character" w:customStyle="1" w:styleId="PoratDiagrama">
    <w:name w:val="Poraštė Diagrama"/>
    <w:basedOn w:val="Numatytasispastraiposriftas"/>
    <w:link w:val="Porat"/>
    <w:rsid w:val="00737E2D"/>
    <w:rPr>
      <w:sz w:val="24"/>
      <w:szCs w:val="24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A31E86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semiHidden/>
    <w:unhideWhenUsed/>
    <w:rsid w:val="00A31E86"/>
    <w:rPr>
      <w:color w:val="800080" w:themeColor="followedHyperlink"/>
      <w:u w:val="single"/>
    </w:rPr>
  </w:style>
  <w:style w:type="table" w:styleId="Lentelstinklelis">
    <w:name w:val="Table Grid"/>
    <w:aliases w:val="Dossier table,Section 3- footnotes,Summary box"/>
    <w:basedOn w:val="prastojilentel"/>
    <w:rsid w:val="00D42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semiHidden/>
    <w:unhideWhenUsed/>
    <w:rsid w:val="00C7012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C7012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7012C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C7012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C7012C"/>
    <w:rPr>
      <w:b/>
      <w:bCs/>
      <w:lang w:eastAsia="en-US"/>
    </w:rPr>
  </w:style>
  <w:style w:type="paragraph" w:styleId="Sraopastraipa">
    <w:name w:val="List Paragraph"/>
    <w:aliases w:val="Bullet 1,Bullet1,List Paragraph CCT minutes,Bullet List,Section 5,Bullets Points,1. Bullet Blank,Bulleted - 2,Dairy Paragraphe,Table Header Row,Bullet Paragraph,Bullet Point,Table Legend,Use Case List Paragraph,List Paragraph1"/>
    <w:basedOn w:val="prastasis"/>
    <w:link w:val="SraopastraipaDiagrama"/>
    <w:uiPriority w:val="34"/>
    <w:qFormat/>
    <w:rsid w:val="00104E2E"/>
    <w:pPr>
      <w:ind w:left="720"/>
      <w:contextualSpacing/>
    </w:pPr>
  </w:style>
  <w:style w:type="character" w:customStyle="1" w:styleId="Style2">
    <w:name w:val="Style2"/>
    <w:basedOn w:val="Numatytasispastraiposriftas"/>
    <w:uiPriority w:val="1"/>
    <w:rsid w:val="00D6498C"/>
    <w:rPr>
      <w:sz w:val="32"/>
    </w:rPr>
  </w:style>
  <w:style w:type="character" w:styleId="Vietosrezervavimoenklotekstas">
    <w:name w:val="Placeholder Text"/>
    <w:basedOn w:val="Numatytasispastraiposriftas"/>
    <w:uiPriority w:val="99"/>
    <w:rsid w:val="00B13D65"/>
    <w:rPr>
      <w:color w:val="808080"/>
    </w:rPr>
  </w:style>
  <w:style w:type="paragraph" w:styleId="Betarp">
    <w:name w:val="No Spacing"/>
    <w:uiPriority w:val="1"/>
    <w:qFormat/>
    <w:rsid w:val="00B13D65"/>
    <w:rPr>
      <w:rFonts w:ascii="Calibri" w:eastAsia="Calibri" w:hAnsi="Calibri"/>
      <w:sz w:val="22"/>
      <w:szCs w:val="22"/>
      <w:lang w:eastAsia="en-US"/>
    </w:rPr>
  </w:style>
  <w:style w:type="table" w:customStyle="1" w:styleId="Lentelstinklelis1">
    <w:name w:val="Lentelės tinklelis1"/>
    <w:basedOn w:val="prastojilentel"/>
    <w:next w:val="Lentelstinklelis"/>
    <w:rsid w:val="009E44AE"/>
    <w:rPr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476256"/>
    <w:rPr>
      <w:sz w:val="24"/>
      <w:szCs w:val="24"/>
      <w:lang w:eastAsia="en-US"/>
    </w:rPr>
  </w:style>
  <w:style w:type="character" w:customStyle="1" w:styleId="SraopastraipaDiagrama">
    <w:name w:val="Sąrašo pastraipa Diagrama"/>
    <w:aliases w:val="Bullet 1 Diagrama,Bullet1 Diagrama,List Paragraph CCT minutes Diagrama,Bullet List Diagrama,Section 5 Diagrama,Bullets Points Diagrama,1. Bullet Blank Diagrama,Bulleted - 2 Diagrama,Dairy Paragraphe Diagrama"/>
    <w:link w:val="Sraopastraipa"/>
    <w:uiPriority w:val="34"/>
    <w:locked/>
    <w:rsid w:val="0012653C"/>
    <w:rPr>
      <w:sz w:val="24"/>
      <w:szCs w:val="24"/>
      <w:lang w:eastAsia="en-US"/>
    </w:rPr>
  </w:style>
  <w:style w:type="paragraph" w:customStyle="1" w:styleId="Tekstas">
    <w:name w:val="Tekstas"/>
    <w:basedOn w:val="prastasis"/>
    <w:link w:val="TekstasChar"/>
    <w:qFormat/>
    <w:rsid w:val="009F1731"/>
    <w:pPr>
      <w:spacing w:after="120"/>
      <w:jc w:val="both"/>
    </w:pPr>
    <w:rPr>
      <w:color w:val="000000" w:themeColor="text1"/>
      <w:lang w:val="en-US"/>
    </w:rPr>
  </w:style>
  <w:style w:type="character" w:customStyle="1" w:styleId="TekstasChar">
    <w:name w:val="Tekstas Char"/>
    <w:link w:val="Tekstas"/>
    <w:rsid w:val="009F1731"/>
    <w:rPr>
      <w:color w:val="000000" w:themeColor="text1"/>
      <w:sz w:val="24"/>
      <w:szCs w:val="24"/>
      <w:lang w:val="en-US" w:eastAsia="en-US"/>
    </w:rPr>
  </w:style>
  <w:style w:type="character" w:styleId="Dokumentoinaosnumeris">
    <w:name w:val="endnote reference"/>
    <w:basedOn w:val="Numatytasispastraiposriftas"/>
    <w:semiHidden/>
    <w:unhideWhenUsed/>
    <w:rsid w:val="00D12E39"/>
    <w:rPr>
      <w:vertAlign w:val="superscript"/>
    </w:rPr>
  </w:style>
  <w:style w:type="character" w:customStyle="1" w:styleId="VVKTChar">
    <w:name w:val="VVKT Char"/>
    <w:basedOn w:val="Numatytasispastraiposriftas"/>
    <w:link w:val="VVKT"/>
    <w:locked/>
    <w:rsid w:val="00CA5A47"/>
    <w:rPr>
      <w:rFonts w:ascii="Arial" w:hAnsi="Arial" w:cs="Arial"/>
    </w:rPr>
  </w:style>
  <w:style w:type="paragraph" w:customStyle="1" w:styleId="VVKT">
    <w:name w:val="VVKT"/>
    <w:basedOn w:val="prastasis"/>
    <w:link w:val="VVKTChar"/>
    <w:qFormat/>
    <w:rsid w:val="00CA5A47"/>
    <w:pPr>
      <w:spacing w:line="276" w:lineRule="auto"/>
    </w:pPr>
    <w:rPr>
      <w:rFonts w:ascii="Arial" w:hAnsi="Arial" w:cs="Arial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8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health/documents/community-register/2025/20250210165025/anx_165025_lt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F4D56B2EF9465085144986D474F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23B20D-109D-4200-8580-16EDAD0F56A5}"/>
      </w:docPartPr>
      <w:docPartBody>
        <w:p w:rsidR="00E1057D" w:rsidRDefault="006D40A2" w:rsidP="006D40A2">
          <w:pPr>
            <w:pStyle w:val="65F4D56B2EF9465085144986D474F378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C9F9030180744FE0B3D679E71F83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6638D-EEFE-4D06-9D0E-ACA2ABF63ED4}"/>
      </w:docPartPr>
      <w:docPartBody>
        <w:p w:rsidR="00E1057D" w:rsidRDefault="006D40A2" w:rsidP="006D40A2">
          <w:pPr>
            <w:pStyle w:val="C9F9030180744FE0B3D679E71F835902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6C9752C6CBD84186BBCEF4F37C820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B5DF8-B1CF-488D-BDFA-28A50FAC2E23}"/>
      </w:docPartPr>
      <w:docPartBody>
        <w:p w:rsidR="00E1057D" w:rsidRDefault="006D40A2" w:rsidP="006D40A2">
          <w:pPr>
            <w:pStyle w:val="6C9752C6CBD84186BBCEF4F37C82054C"/>
          </w:pPr>
          <w:r>
            <w:rPr>
              <w:rStyle w:val="Vietosrezervavimoenklotekstas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0DD"/>
    <w:rsid w:val="0001247F"/>
    <w:rsid w:val="00047C19"/>
    <w:rsid w:val="00061157"/>
    <w:rsid w:val="000624FF"/>
    <w:rsid w:val="000937FE"/>
    <w:rsid w:val="000A50C9"/>
    <w:rsid w:val="000A559A"/>
    <w:rsid w:val="000D24D4"/>
    <w:rsid w:val="000D6217"/>
    <w:rsid w:val="0014006D"/>
    <w:rsid w:val="001C09D8"/>
    <w:rsid w:val="001C35A9"/>
    <w:rsid w:val="00237556"/>
    <w:rsid w:val="002C0686"/>
    <w:rsid w:val="0036153E"/>
    <w:rsid w:val="0039303B"/>
    <w:rsid w:val="003A5116"/>
    <w:rsid w:val="004144A3"/>
    <w:rsid w:val="004160E7"/>
    <w:rsid w:val="004416C6"/>
    <w:rsid w:val="00456E96"/>
    <w:rsid w:val="004C6221"/>
    <w:rsid w:val="004D038D"/>
    <w:rsid w:val="004F4E20"/>
    <w:rsid w:val="004F5AB2"/>
    <w:rsid w:val="005074B9"/>
    <w:rsid w:val="00563A5F"/>
    <w:rsid w:val="005C0D18"/>
    <w:rsid w:val="005C62E5"/>
    <w:rsid w:val="005E40DD"/>
    <w:rsid w:val="00601F4E"/>
    <w:rsid w:val="006669B6"/>
    <w:rsid w:val="006D40A2"/>
    <w:rsid w:val="006E6A2C"/>
    <w:rsid w:val="007219C1"/>
    <w:rsid w:val="00745C63"/>
    <w:rsid w:val="00753462"/>
    <w:rsid w:val="00772325"/>
    <w:rsid w:val="007A2FE0"/>
    <w:rsid w:val="007B09B5"/>
    <w:rsid w:val="007C6D1D"/>
    <w:rsid w:val="007D654E"/>
    <w:rsid w:val="00892FF4"/>
    <w:rsid w:val="008C0DC0"/>
    <w:rsid w:val="0090074D"/>
    <w:rsid w:val="00901A35"/>
    <w:rsid w:val="009B3BF0"/>
    <w:rsid w:val="009D5E5E"/>
    <w:rsid w:val="009F1BB4"/>
    <w:rsid w:val="009F5B17"/>
    <w:rsid w:val="00A20D39"/>
    <w:rsid w:val="00A254A2"/>
    <w:rsid w:val="00AB2D54"/>
    <w:rsid w:val="00AB6ED4"/>
    <w:rsid w:val="00B02379"/>
    <w:rsid w:val="00B14210"/>
    <w:rsid w:val="00B22ED6"/>
    <w:rsid w:val="00B23DC0"/>
    <w:rsid w:val="00B5633F"/>
    <w:rsid w:val="00B71F04"/>
    <w:rsid w:val="00B96656"/>
    <w:rsid w:val="00BA0A8E"/>
    <w:rsid w:val="00BE3364"/>
    <w:rsid w:val="00C2401D"/>
    <w:rsid w:val="00C250D7"/>
    <w:rsid w:val="00C53A68"/>
    <w:rsid w:val="00C66578"/>
    <w:rsid w:val="00CA5BB4"/>
    <w:rsid w:val="00CB4BD1"/>
    <w:rsid w:val="00CD139C"/>
    <w:rsid w:val="00CE2DA9"/>
    <w:rsid w:val="00CE44BE"/>
    <w:rsid w:val="00D008F3"/>
    <w:rsid w:val="00D0142D"/>
    <w:rsid w:val="00D04DFF"/>
    <w:rsid w:val="00D15ED6"/>
    <w:rsid w:val="00D20347"/>
    <w:rsid w:val="00D4356B"/>
    <w:rsid w:val="00D7162F"/>
    <w:rsid w:val="00DA599C"/>
    <w:rsid w:val="00DB4DB5"/>
    <w:rsid w:val="00DE4D10"/>
    <w:rsid w:val="00E1057D"/>
    <w:rsid w:val="00E44A86"/>
    <w:rsid w:val="00E522EB"/>
    <w:rsid w:val="00E60827"/>
    <w:rsid w:val="00EF6E0C"/>
    <w:rsid w:val="00F14477"/>
    <w:rsid w:val="00F370E5"/>
    <w:rsid w:val="00F42351"/>
    <w:rsid w:val="00F55028"/>
    <w:rsid w:val="00F677F0"/>
    <w:rsid w:val="00F77BEF"/>
    <w:rsid w:val="00FC755C"/>
    <w:rsid w:val="00FE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rsid w:val="006D40A2"/>
    <w:rPr>
      <w:color w:val="808080"/>
    </w:rPr>
  </w:style>
  <w:style w:type="paragraph" w:customStyle="1" w:styleId="65F4D56B2EF9465085144986D474F378">
    <w:name w:val="65F4D56B2EF9465085144986D474F378"/>
    <w:rsid w:val="006D4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F9030180744FE0B3D679E71F835902">
    <w:name w:val="C9F9030180744FE0B3D679E71F835902"/>
    <w:rsid w:val="006D40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9752C6CBD84186BBCEF4F37C82054C">
    <w:name w:val="6C9752C6CBD84186BBCEF4F37C82054C"/>
    <w:rsid w:val="006D40A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5E943-23B7-4F41-AFD5-C1270A0E6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7732</Words>
  <Characters>4408</Characters>
  <Application>Microsoft Office Word</Application>
  <DocSecurity>0</DocSecurity>
  <Lines>36</Lines>
  <Paragraphs>24</Paragraphs>
  <ScaleCrop>false</ScaleCrop>
  <Company/>
  <LinksUpToDate>false</LinksUpToDate>
  <CharactersWithSpaces>12116</CharactersWithSpaces>
  <SharedDoc>false</SharedDoc>
  <HLinks>
    <vt:vector size="6" baseType="variant">
      <vt:variant>
        <vt:i4>5308539</vt:i4>
      </vt:variant>
      <vt:variant>
        <vt:i4>6</vt:i4>
      </vt:variant>
      <vt:variant>
        <vt:i4>0</vt:i4>
      </vt:variant>
      <vt:variant>
        <vt:i4>5</vt:i4>
      </vt:variant>
      <vt:variant>
        <vt:lpwstr>mailto:vvkt@vvkt.lt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2026-09-29T10:44:00Z</dcterms:created>
  <dcterms:modified xsi:type="dcterms:W3CDTF">2026-09-29T10:44:00Z</dcterms:modified>
</cp:coreProperties>
</file>