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E5EB3" w14:textId="1955ADE3" w:rsidR="005F7602" w:rsidRPr="00846583" w:rsidRDefault="005F7602" w:rsidP="002946C7">
      <w:pPr>
        <w:ind w:left="5529"/>
      </w:pPr>
    </w:p>
    <w:p w14:paraId="12FA4B9E" w14:textId="39AA3336" w:rsidR="001B3C5B" w:rsidRPr="00846583" w:rsidRDefault="00DC261A" w:rsidP="001B3C5B">
      <w:pPr>
        <w:ind w:left="6096"/>
      </w:pPr>
      <w:bookmarkStart w:id="0" w:name="_Hlk189565243"/>
      <w:r w:rsidRPr="00846583">
        <w:t>PATVIRTINTA</w:t>
      </w:r>
    </w:p>
    <w:p w14:paraId="7206970B" w14:textId="70E9BD2E" w:rsidR="004C263A" w:rsidRPr="00846583" w:rsidRDefault="001B3C5B" w:rsidP="001B3C5B">
      <w:pPr>
        <w:ind w:left="6096"/>
      </w:pPr>
      <w:r w:rsidRPr="00846583">
        <w:t>Valstybinės vaistų kontrolės tarnybos prie Lietuvos Respublikos sveikatos apsaugos ministerijos viršininko 2021 m</w:t>
      </w:r>
      <w:r w:rsidR="004C263A" w:rsidRPr="00846583">
        <w:t xml:space="preserve">. lapkričio 12 </w:t>
      </w:r>
      <w:r w:rsidRPr="00846583">
        <w:t>d. įsakymu Nr.</w:t>
      </w:r>
      <w:r w:rsidR="004C263A" w:rsidRPr="00846583">
        <w:t xml:space="preserve"> (1.72E)1A-1418</w:t>
      </w:r>
    </w:p>
    <w:p w14:paraId="5B219AA6" w14:textId="3A5D6CB4" w:rsidR="001B3C5B" w:rsidRPr="00846583" w:rsidRDefault="004C263A" w:rsidP="001B3C5B">
      <w:pPr>
        <w:ind w:left="6096"/>
      </w:pPr>
      <w:r w:rsidRPr="00846583">
        <w:t>(Valstybinės vaistų kontrolės tarnybos prie Lietuvos Respublikos sveikatos apsaugos ministerijos viršininko 202</w:t>
      </w:r>
      <w:r w:rsidR="00A2310D" w:rsidRPr="00846583">
        <w:t>5</w:t>
      </w:r>
      <w:r w:rsidRPr="00846583">
        <w:t xml:space="preserve"> m.                         d. įsakymo Nr.                    redakcija)</w:t>
      </w:r>
    </w:p>
    <w:p w14:paraId="3336BD74" w14:textId="77777777" w:rsidR="001B3C5B" w:rsidRPr="00846583" w:rsidRDefault="001B3C5B" w:rsidP="00FA4169"/>
    <w:p w14:paraId="1C168261" w14:textId="41E1A8C0" w:rsidR="00DC261A" w:rsidRPr="00846583" w:rsidRDefault="00DC261A" w:rsidP="005401A9">
      <w:pPr>
        <w:rPr>
          <w:b/>
          <w:bCs/>
        </w:rPr>
      </w:pPr>
      <w:bookmarkStart w:id="1" w:name="_Hlk189565260"/>
      <w:bookmarkEnd w:id="0"/>
    </w:p>
    <w:bookmarkEnd w:id="1"/>
    <w:p w14:paraId="56604434" w14:textId="77777777" w:rsidR="00DC261A" w:rsidRPr="00846583" w:rsidRDefault="00DC261A" w:rsidP="003B211A">
      <w:pPr>
        <w:jc w:val="center"/>
        <w:rPr>
          <w:b/>
        </w:rPr>
      </w:pPr>
    </w:p>
    <w:p w14:paraId="77AFB67E" w14:textId="0FB133A2" w:rsidR="00613501" w:rsidRPr="00846583" w:rsidRDefault="002F0E4F" w:rsidP="003B211A">
      <w:pPr>
        <w:jc w:val="center"/>
        <w:rPr>
          <w:b/>
          <w:bCs/>
          <w:caps/>
        </w:rPr>
      </w:pPr>
      <w:r w:rsidRPr="00846583">
        <w:rPr>
          <w:b/>
        </w:rPr>
        <w:t xml:space="preserve">REKOMENDACIJA DĖL VAISTINIO PREPARATO </w:t>
      </w:r>
      <w:r w:rsidRPr="00846583">
        <w:rPr>
          <w:b/>
          <w:bCs/>
          <w:caps/>
        </w:rPr>
        <w:t>Lietuvos Respublikos Sveikatos apsaugos ministerijos vaistinių preparatų ir medicinos pagalbos priemonių kompensavimo komisijai</w:t>
      </w:r>
    </w:p>
    <w:p w14:paraId="34E4395D" w14:textId="15FB10DF" w:rsidR="00B13D65" w:rsidRPr="00846583" w:rsidRDefault="00B13D65" w:rsidP="003B211A">
      <w:pPr>
        <w:jc w:val="center"/>
        <w:rPr>
          <w:b/>
        </w:rPr>
      </w:pPr>
    </w:p>
    <w:p w14:paraId="3554492C" w14:textId="25B8C728" w:rsidR="00CB7AD6" w:rsidRPr="00846583" w:rsidRDefault="00CB7AD6" w:rsidP="00CB7AD6">
      <w:pPr>
        <w:jc w:val="center"/>
        <w:rPr>
          <w:b/>
        </w:rPr>
      </w:pPr>
      <w:r w:rsidRPr="00846583">
        <w:rPr>
          <w:b/>
        </w:rPr>
        <w:t>Imfinzi 50</w:t>
      </w:r>
      <w:r w:rsidR="0010365E" w:rsidRPr="00846583">
        <w:rPr>
          <w:b/>
        </w:rPr>
        <w:t xml:space="preserve"> </w:t>
      </w:r>
      <w:r w:rsidRPr="00846583">
        <w:rPr>
          <w:b/>
        </w:rPr>
        <w:t>mg/ml koncentratas infuziniam tirpalui</w:t>
      </w:r>
    </w:p>
    <w:p w14:paraId="7D87DC5F" w14:textId="77777777" w:rsidR="00CB7AD6" w:rsidRPr="00846583" w:rsidRDefault="00CB7AD6" w:rsidP="00CB7AD6">
      <w:pPr>
        <w:jc w:val="center"/>
      </w:pPr>
    </w:p>
    <w:p w14:paraId="601E1BF9" w14:textId="77777777" w:rsidR="00CB7AD6" w:rsidRPr="00846583" w:rsidRDefault="00CB7AD6" w:rsidP="00CB7AD6">
      <w:pPr>
        <w:jc w:val="center"/>
      </w:pPr>
      <w:r w:rsidRPr="00846583">
        <w:rPr>
          <w:b/>
        </w:rPr>
        <w:t>Durvulumabas</w:t>
      </w:r>
    </w:p>
    <w:p w14:paraId="7E241C36" w14:textId="77777777" w:rsidR="00CB7AD6" w:rsidRPr="00846583" w:rsidRDefault="00CB7AD6" w:rsidP="00CB7AD6">
      <w:pPr>
        <w:jc w:val="center"/>
      </w:pPr>
    </w:p>
    <w:p w14:paraId="4A5B2E04" w14:textId="6FDD763D" w:rsidR="00CB7AD6" w:rsidRPr="00846583" w:rsidRDefault="00CB7AD6" w:rsidP="00CB7AD6">
      <w:pPr>
        <w:jc w:val="center"/>
        <w:rPr>
          <w:b/>
        </w:rPr>
      </w:pPr>
      <w:r w:rsidRPr="00846583">
        <w:rPr>
          <w:b/>
        </w:rPr>
        <w:t>STV</w:t>
      </w:r>
      <w:r w:rsidR="006E1DF9" w:rsidRPr="00846583">
        <w:rPr>
          <w:b/>
        </w:rPr>
        <w:t>-</w:t>
      </w:r>
      <w:r w:rsidRPr="00846583">
        <w:rPr>
          <w:b/>
        </w:rPr>
        <w:t>293</w:t>
      </w:r>
    </w:p>
    <w:p w14:paraId="09EA6495" w14:textId="77777777" w:rsidR="00D458B7" w:rsidRPr="00846583" w:rsidRDefault="00D458B7" w:rsidP="00183F54">
      <w:pPr>
        <w:spacing w:line="280" w:lineRule="atLeast"/>
        <w:rPr>
          <w:rFonts w:eastAsia="Arial"/>
        </w:rPr>
      </w:pPr>
    </w:p>
    <w:p w14:paraId="453197C8" w14:textId="77777777" w:rsidR="00D4708D" w:rsidRPr="00846583" w:rsidRDefault="00D4708D" w:rsidP="003B211A">
      <w:pPr>
        <w:jc w:val="center"/>
        <w:rPr>
          <w:b/>
        </w:rPr>
      </w:pPr>
    </w:p>
    <w:p w14:paraId="78C89D1C" w14:textId="0DEFFAA5" w:rsidR="00D4485B" w:rsidRPr="00846583" w:rsidRDefault="00B13D65" w:rsidP="00CC09D4">
      <w:pPr>
        <w:pStyle w:val="ListParagraph"/>
        <w:numPr>
          <w:ilvl w:val="0"/>
          <w:numId w:val="12"/>
        </w:numPr>
        <w:tabs>
          <w:tab w:val="left" w:pos="567"/>
        </w:tabs>
        <w:ind w:left="567" w:hanging="567"/>
        <w:rPr>
          <w:b/>
          <w:bCs/>
          <w:caps/>
        </w:rPr>
      </w:pPr>
      <w:r w:rsidRPr="00846583">
        <w:rPr>
          <w:b/>
          <w:bCs/>
          <w:caps/>
        </w:rPr>
        <w:t>Bendroji dalis</w:t>
      </w:r>
    </w:p>
    <w:p w14:paraId="04A7C7A7" w14:textId="77777777" w:rsidR="00B13D65" w:rsidRPr="00846583" w:rsidRDefault="00B13D65" w:rsidP="00E03C3F">
      <w:pPr>
        <w:pStyle w:val="ListParagraph"/>
        <w:tabs>
          <w:tab w:val="left" w:pos="284"/>
        </w:tabs>
        <w:ind w:left="0"/>
        <w:rPr>
          <w:b/>
          <w:bCs/>
          <w:caps/>
        </w:rPr>
      </w:pPr>
    </w:p>
    <w:tbl>
      <w:tblPr>
        <w:tblStyle w:val="TableGrid"/>
        <w:tblW w:w="9493" w:type="dxa"/>
        <w:tblLook w:val="04A0" w:firstRow="1" w:lastRow="0" w:firstColumn="1" w:lastColumn="0" w:noHBand="0" w:noVBand="1"/>
      </w:tblPr>
      <w:tblGrid>
        <w:gridCol w:w="632"/>
        <w:gridCol w:w="3899"/>
        <w:gridCol w:w="4962"/>
      </w:tblGrid>
      <w:tr w:rsidR="00334F18" w:rsidRPr="00846583" w14:paraId="16A7BC7B" w14:textId="77777777" w:rsidTr="003F3FFF">
        <w:trPr>
          <w:trHeight w:val="538"/>
        </w:trPr>
        <w:tc>
          <w:tcPr>
            <w:tcW w:w="632" w:type="dxa"/>
          </w:tcPr>
          <w:p w14:paraId="4572808D" w14:textId="77777777" w:rsidR="00E70CED" w:rsidRPr="00846583" w:rsidRDefault="00E70CED" w:rsidP="001F115E">
            <w:pPr>
              <w:rPr>
                <w:rFonts w:eastAsia="Arial"/>
                <w:b/>
                <w:bCs/>
              </w:rPr>
            </w:pPr>
            <w:r w:rsidRPr="00846583">
              <w:rPr>
                <w:rFonts w:eastAsia="Arial"/>
                <w:b/>
                <w:bCs/>
              </w:rPr>
              <w:t>1.1</w:t>
            </w:r>
          </w:p>
        </w:tc>
        <w:tc>
          <w:tcPr>
            <w:tcW w:w="3899" w:type="dxa"/>
          </w:tcPr>
          <w:p w14:paraId="54BA6EB3" w14:textId="77777777" w:rsidR="00E70CED" w:rsidRPr="00846583" w:rsidRDefault="00E70CED" w:rsidP="001F115E">
            <w:pPr>
              <w:rPr>
                <w:rFonts w:eastAsia="Arial"/>
                <w:b/>
                <w:bCs/>
              </w:rPr>
            </w:pPr>
            <w:r w:rsidRPr="00846583">
              <w:rPr>
                <w:rFonts w:eastAsia="Arial"/>
                <w:b/>
                <w:bCs/>
              </w:rPr>
              <w:t>Pareiškėjas/ pareiškėjo atstovas</w:t>
            </w:r>
          </w:p>
        </w:tc>
        <w:tc>
          <w:tcPr>
            <w:tcW w:w="4962" w:type="dxa"/>
          </w:tcPr>
          <w:p w14:paraId="0F359BD4" w14:textId="5FAE944C" w:rsidR="00E70CED" w:rsidRPr="00846583" w:rsidRDefault="00CB7AD6" w:rsidP="00772F40">
            <w:pPr>
              <w:tabs>
                <w:tab w:val="left" w:pos="1756"/>
              </w:tabs>
              <w:rPr>
                <w:rFonts w:eastAsia="Arial"/>
              </w:rPr>
            </w:pPr>
            <w:r w:rsidRPr="00846583">
              <w:t>Astra Zeneca UAB</w:t>
            </w:r>
          </w:p>
        </w:tc>
      </w:tr>
      <w:tr w:rsidR="00334F18" w:rsidRPr="00846583" w14:paraId="101EA148" w14:textId="77777777" w:rsidTr="003F3FFF">
        <w:trPr>
          <w:trHeight w:val="538"/>
        </w:trPr>
        <w:tc>
          <w:tcPr>
            <w:tcW w:w="632" w:type="dxa"/>
          </w:tcPr>
          <w:p w14:paraId="3BF67175" w14:textId="77777777" w:rsidR="00E70CED" w:rsidRPr="00846583" w:rsidRDefault="00E70CED" w:rsidP="001F115E">
            <w:pPr>
              <w:rPr>
                <w:rFonts w:eastAsia="Arial"/>
                <w:b/>
                <w:bCs/>
              </w:rPr>
            </w:pPr>
            <w:r w:rsidRPr="00846583">
              <w:rPr>
                <w:rFonts w:eastAsia="Arial"/>
                <w:b/>
                <w:bCs/>
              </w:rPr>
              <w:t>1.2</w:t>
            </w:r>
          </w:p>
        </w:tc>
        <w:tc>
          <w:tcPr>
            <w:tcW w:w="3899" w:type="dxa"/>
          </w:tcPr>
          <w:p w14:paraId="786B66DF" w14:textId="77777777" w:rsidR="00E70CED" w:rsidRPr="00846583" w:rsidRDefault="00E70CED" w:rsidP="001F115E">
            <w:pPr>
              <w:rPr>
                <w:b/>
                <w:bCs/>
                <w:lang w:eastAsia="lt-LT"/>
              </w:rPr>
            </w:pPr>
            <w:r w:rsidRPr="00846583">
              <w:rPr>
                <w:b/>
                <w:bCs/>
                <w:lang w:eastAsia="lt-LT"/>
              </w:rPr>
              <w:t xml:space="preserve">Vaistinio preparato registracijos data </w:t>
            </w:r>
          </w:p>
          <w:p w14:paraId="4B568341" w14:textId="77777777" w:rsidR="00E70CED" w:rsidRPr="00846583" w:rsidRDefault="00E70CED" w:rsidP="001F115E">
            <w:pPr>
              <w:rPr>
                <w:b/>
                <w:bCs/>
                <w:lang w:eastAsia="lt-LT"/>
              </w:rPr>
            </w:pPr>
          </w:p>
        </w:tc>
        <w:tc>
          <w:tcPr>
            <w:tcW w:w="4962" w:type="dxa"/>
          </w:tcPr>
          <w:p w14:paraId="50F63366" w14:textId="75E912AD" w:rsidR="00E70CED" w:rsidRPr="00846583" w:rsidRDefault="00000000" w:rsidP="001F115E">
            <w:pPr>
              <w:rPr>
                <w:rStyle w:val="Style2"/>
              </w:rPr>
            </w:pPr>
            <w:sdt>
              <w:sdtPr>
                <w:rPr>
                  <w:sz w:val="32"/>
                  <w:lang w:eastAsia="lt-LT"/>
                </w:rPr>
                <w:alias w:val="Nurodykite konkrečią dieną"/>
                <w:tag w:val="Nurodykite pradžios datą"/>
                <w:id w:val="1772196685"/>
                <w:placeholder>
                  <w:docPart w:val="9F03AA1B603F47D3BD40A45F2A0F7814"/>
                </w:placeholder>
                <w15:color w:val="FFCC99"/>
                <w:date>
                  <w:dateFormat w:val="yyyy 'm.' MMMM d 'd.'"/>
                  <w:lid w:val="lt-LT"/>
                  <w:storeMappedDataAs w:val="dateTime"/>
                  <w:calendar w:val="gregorian"/>
                </w:date>
              </w:sdtPr>
              <w:sdtContent>
                <w:r w:rsidR="00CB7AD6" w:rsidRPr="00846583">
                  <w:rPr>
                    <w:lang w:eastAsia="lt-LT"/>
                  </w:rPr>
                  <w:t>2018 m. rugsėjo 21 d.</w:t>
                </w:r>
              </w:sdtContent>
            </w:sdt>
          </w:p>
        </w:tc>
      </w:tr>
      <w:tr w:rsidR="00334F18" w:rsidRPr="00846583" w14:paraId="3D70E0FA" w14:textId="77777777" w:rsidTr="001F115E">
        <w:trPr>
          <w:trHeight w:val="1643"/>
        </w:trPr>
        <w:tc>
          <w:tcPr>
            <w:tcW w:w="632" w:type="dxa"/>
          </w:tcPr>
          <w:p w14:paraId="021DF6BD" w14:textId="77777777" w:rsidR="00E70CED" w:rsidRPr="00846583" w:rsidRDefault="00E70CED" w:rsidP="001F115E">
            <w:pPr>
              <w:rPr>
                <w:rFonts w:eastAsia="Arial"/>
                <w:b/>
                <w:bCs/>
              </w:rPr>
            </w:pPr>
            <w:r w:rsidRPr="00846583">
              <w:rPr>
                <w:rFonts w:eastAsia="Arial"/>
                <w:b/>
                <w:bCs/>
              </w:rPr>
              <w:t>1.3</w:t>
            </w:r>
          </w:p>
        </w:tc>
        <w:tc>
          <w:tcPr>
            <w:tcW w:w="3899" w:type="dxa"/>
          </w:tcPr>
          <w:p w14:paraId="528F713F" w14:textId="77777777" w:rsidR="00E70CED" w:rsidRPr="00846583" w:rsidRDefault="00E70CED" w:rsidP="001F115E">
            <w:pPr>
              <w:pStyle w:val="NoSpacing"/>
              <w:rPr>
                <w:rFonts w:ascii="Times New Roman" w:hAnsi="Times New Roman"/>
                <w:b/>
                <w:sz w:val="24"/>
                <w:szCs w:val="24"/>
                <w:shd w:val="clear" w:color="auto" w:fill="FFFFFF"/>
              </w:rPr>
            </w:pPr>
            <w:r w:rsidRPr="00846583">
              <w:rPr>
                <w:rFonts w:ascii="Times New Roman" w:hAnsi="Times New Roman"/>
                <w:b/>
                <w:sz w:val="24"/>
                <w:szCs w:val="24"/>
              </w:rPr>
              <w:t xml:space="preserve">Vaistinio preparato </w:t>
            </w:r>
            <w:r w:rsidRPr="00846583">
              <w:rPr>
                <w:rFonts w:ascii="Times New Roman" w:hAnsi="Times New Roman"/>
                <w:b/>
                <w:sz w:val="24"/>
                <w:szCs w:val="24"/>
                <w:shd w:val="clear" w:color="auto" w:fill="FFFFFF"/>
              </w:rPr>
              <w:t>registracijos teisinis pagrindas</w:t>
            </w:r>
          </w:p>
          <w:p w14:paraId="63F86DC1" w14:textId="77777777" w:rsidR="00E70CED" w:rsidRPr="00846583" w:rsidRDefault="00E70CED" w:rsidP="001F115E">
            <w:pPr>
              <w:pStyle w:val="NoSpacing"/>
              <w:rPr>
                <w:rFonts w:ascii="Times New Roman" w:hAnsi="Times New Roman"/>
                <w:b/>
                <w:bCs/>
                <w:sz w:val="24"/>
                <w:szCs w:val="24"/>
                <w:lang w:eastAsia="lt-LT"/>
              </w:rPr>
            </w:pPr>
            <w:r w:rsidRPr="00846583">
              <w:rPr>
                <w:rFonts w:ascii="Times New Roman" w:hAnsi="Times New Roman"/>
                <w:b/>
                <w:sz w:val="24"/>
                <w:szCs w:val="24"/>
                <w:shd w:val="clear" w:color="auto" w:fill="FFFFFF"/>
              </w:rPr>
              <w:t>(</w:t>
            </w:r>
            <w:r w:rsidRPr="00846583">
              <w:rPr>
                <w:rFonts w:ascii="Times New Roman" w:hAnsi="Times New Roman"/>
                <w:b/>
                <w:sz w:val="24"/>
                <w:szCs w:val="24"/>
              </w:rPr>
              <w:t>Direktyvos 2001/83/EB str.)</w:t>
            </w:r>
          </w:p>
        </w:tc>
        <w:tc>
          <w:tcPr>
            <w:tcW w:w="4962" w:type="dxa"/>
          </w:tcPr>
          <w:p w14:paraId="4C977D39" w14:textId="2854BB3F" w:rsidR="00E70CED" w:rsidRPr="00846583" w:rsidRDefault="00000000" w:rsidP="001F115E">
            <w:sdt>
              <w:sdtPr>
                <w:rPr>
                  <w:rStyle w:val="Style2"/>
                  <w:sz w:val="24"/>
                </w:rPr>
                <w:id w:val="526292078"/>
                <w15:color w:val="FFCC00"/>
                <w14:checkbox>
                  <w14:checked w14:val="1"/>
                  <w14:checkedState w14:val="2612" w14:font="MS Gothic"/>
                  <w14:uncheckedState w14:val="2610" w14:font="MS Gothic"/>
                </w14:checkbox>
              </w:sdtPr>
              <w:sdtContent>
                <w:r w:rsidR="00183F54" w:rsidRPr="00846583">
                  <w:rPr>
                    <w:rStyle w:val="Style2"/>
                    <w:rFonts w:ascii="MS Gothic" w:eastAsia="MS Gothic" w:hAnsi="MS Gothic"/>
                    <w:sz w:val="24"/>
                  </w:rPr>
                  <w:t>☒</w:t>
                </w:r>
              </w:sdtContent>
            </w:sdt>
            <w:r w:rsidR="00E70CED" w:rsidRPr="00846583">
              <w:t>8.3 str. (pilna byla, pagrįsta savais tyrimais)</w:t>
            </w:r>
          </w:p>
          <w:p w14:paraId="6AABD410" w14:textId="77777777" w:rsidR="00E70CED" w:rsidRPr="00846583" w:rsidRDefault="00000000" w:rsidP="001F115E">
            <w:sdt>
              <w:sdtPr>
                <w:rPr>
                  <w:rStyle w:val="Style2"/>
                  <w:sz w:val="24"/>
                </w:rPr>
                <w:id w:val="-1497953736"/>
                <w15:color w:val="FFCC00"/>
                <w14:checkbox>
                  <w14:checked w14:val="0"/>
                  <w14:checkedState w14:val="2612" w14:font="MS Gothic"/>
                  <w14:uncheckedState w14:val="2610" w14:font="MS Gothic"/>
                </w14:checkbox>
              </w:sdtPr>
              <w:sdtContent>
                <w:r w:rsidR="00E70CED" w:rsidRPr="00846583">
                  <w:rPr>
                    <w:rStyle w:val="Style2"/>
                    <w:rFonts w:ascii="Segoe UI Symbol" w:eastAsia="MS Gothic" w:hAnsi="Segoe UI Symbol" w:cs="Segoe UI Symbol"/>
                    <w:sz w:val="24"/>
                  </w:rPr>
                  <w:t>☐</w:t>
                </w:r>
              </w:sdtContent>
            </w:sdt>
            <w:r w:rsidR="00E70CED" w:rsidRPr="00846583">
              <w:t>10 a str. (pripažintas medicininis vartojimas)</w:t>
            </w:r>
          </w:p>
          <w:p w14:paraId="5CF35A47" w14:textId="77777777" w:rsidR="00E70CED" w:rsidRPr="00846583" w:rsidRDefault="00000000" w:rsidP="001F115E">
            <w:sdt>
              <w:sdtPr>
                <w:rPr>
                  <w:rStyle w:val="Style2"/>
                  <w:sz w:val="24"/>
                </w:rPr>
                <w:id w:val="204142496"/>
                <w15:color w:val="FFCC00"/>
                <w14:checkbox>
                  <w14:checked w14:val="0"/>
                  <w14:checkedState w14:val="2612" w14:font="MS Gothic"/>
                  <w14:uncheckedState w14:val="2610" w14:font="MS Gothic"/>
                </w14:checkbox>
              </w:sdtPr>
              <w:sdtContent>
                <w:r w:rsidR="00E70CED" w:rsidRPr="00846583">
                  <w:rPr>
                    <w:rStyle w:val="Style2"/>
                    <w:rFonts w:ascii="Segoe UI Symbol" w:eastAsia="MS Gothic" w:hAnsi="Segoe UI Symbol" w:cs="Segoe UI Symbol"/>
                    <w:sz w:val="24"/>
                  </w:rPr>
                  <w:t>☐</w:t>
                </w:r>
              </w:sdtContent>
            </w:sdt>
            <w:r w:rsidR="00E70CED" w:rsidRPr="00846583">
              <w:t>10.1 str. (generinis)</w:t>
            </w:r>
          </w:p>
          <w:p w14:paraId="0517A1B2" w14:textId="77777777" w:rsidR="00E70CED" w:rsidRPr="00846583" w:rsidRDefault="00000000" w:rsidP="001F115E">
            <w:sdt>
              <w:sdtPr>
                <w:rPr>
                  <w:rStyle w:val="Style2"/>
                  <w:sz w:val="24"/>
                </w:rPr>
                <w:id w:val="820305101"/>
                <w15:color w:val="FFCC00"/>
                <w14:checkbox>
                  <w14:checked w14:val="0"/>
                  <w14:checkedState w14:val="2612" w14:font="MS Gothic"/>
                  <w14:uncheckedState w14:val="2610" w14:font="MS Gothic"/>
                </w14:checkbox>
              </w:sdtPr>
              <w:sdtContent>
                <w:r w:rsidR="00E70CED" w:rsidRPr="00846583">
                  <w:rPr>
                    <w:rStyle w:val="Style2"/>
                    <w:rFonts w:ascii="Segoe UI Symbol" w:eastAsia="MS Gothic" w:hAnsi="Segoe UI Symbol" w:cs="Segoe UI Symbol"/>
                    <w:sz w:val="24"/>
                  </w:rPr>
                  <w:t>☐</w:t>
                </w:r>
              </w:sdtContent>
            </w:sdt>
            <w:r w:rsidR="00E70CED" w:rsidRPr="00846583">
              <w:t>10.3 str. (hibridinis)</w:t>
            </w:r>
          </w:p>
          <w:p w14:paraId="0F37DDE0" w14:textId="4FB4A191" w:rsidR="00063A50" w:rsidRPr="00846583" w:rsidRDefault="00000000" w:rsidP="00063A50">
            <w:sdt>
              <w:sdtPr>
                <w:rPr>
                  <w:rStyle w:val="Style2"/>
                  <w:sz w:val="24"/>
                </w:rPr>
                <w:id w:val="1800953328"/>
                <w15:color w:val="FFCC00"/>
                <w14:checkbox>
                  <w14:checked w14:val="0"/>
                  <w14:checkedState w14:val="2612" w14:font="MS Gothic"/>
                  <w14:uncheckedState w14:val="2610" w14:font="MS Gothic"/>
                </w14:checkbox>
              </w:sdtPr>
              <w:sdtContent>
                <w:r w:rsidR="00183F54" w:rsidRPr="00846583">
                  <w:rPr>
                    <w:rStyle w:val="Style2"/>
                    <w:rFonts w:ascii="MS Gothic" w:eastAsia="MS Gothic" w:hAnsi="MS Gothic"/>
                    <w:sz w:val="24"/>
                  </w:rPr>
                  <w:t>☐</w:t>
                </w:r>
              </w:sdtContent>
            </w:sdt>
            <w:r w:rsidR="00063A50" w:rsidRPr="00846583">
              <w:t>10.4 str. (panašus biologinis)</w:t>
            </w:r>
          </w:p>
          <w:p w14:paraId="7EDB4848" w14:textId="77777777" w:rsidR="00063A50" w:rsidRPr="00846583" w:rsidRDefault="00063A50" w:rsidP="001F115E">
            <w:pPr>
              <w:rPr>
                <w:rStyle w:val="Style2"/>
                <w:sz w:val="24"/>
              </w:rPr>
            </w:pPr>
          </w:p>
        </w:tc>
      </w:tr>
      <w:tr w:rsidR="00334F18" w:rsidRPr="00846583" w14:paraId="31641941" w14:textId="77777777" w:rsidTr="003F3FFF">
        <w:trPr>
          <w:trHeight w:val="1011"/>
        </w:trPr>
        <w:tc>
          <w:tcPr>
            <w:tcW w:w="632" w:type="dxa"/>
          </w:tcPr>
          <w:p w14:paraId="2E73A32C" w14:textId="77777777" w:rsidR="00E70CED" w:rsidRPr="00846583" w:rsidRDefault="00E70CED" w:rsidP="001F115E">
            <w:pPr>
              <w:rPr>
                <w:rFonts w:eastAsia="Arial"/>
                <w:b/>
                <w:bCs/>
              </w:rPr>
            </w:pPr>
            <w:r w:rsidRPr="00846583">
              <w:rPr>
                <w:rFonts w:eastAsia="Arial"/>
                <w:b/>
              </w:rPr>
              <w:t>1.4</w:t>
            </w:r>
          </w:p>
        </w:tc>
        <w:tc>
          <w:tcPr>
            <w:tcW w:w="3899" w:type="dxa"/>
          </w:tcPr>
          <w:p w14:paraId="2547AC59" w14:textId="77777777" w:rsidR="00E70CED" w:rsidRPr="00846583" w:rsidRDefault="00E70CED" w:rsidP="001F115E">
            <w:pPr>
              <w:tabs>
                <w:tab w:val="left" w:pos="284"/>
              </w:tabs>
              <w:rPr>
                <w:b/>
                <w:bCs/>
                <w:lang w:eastAsia="lt-LT"/>
              </w:rPr>
            </w:pPr>
            <w:r w:rsidRPr="00846583">
              <w:rPr>
                <w:b/>
                <w:bCs/>
                <w:lang w:eastAsia="lt-LT"/>
              </w:rPr>
              <w:t>Ar vaistinis preparatas įrašytas į Bendrijos retųjų vaistinių preparatų registrą?</w:t>
            </w:r>
          </w:p>
        </w:tc>
        <w:tc>
          <w:tcPr>
            <w:tcW w:w="4962" w:type="dxa"/>
          </w:tcPr>
          <w:p w14:paraId="49AB923F" w14:textId="3E4FFF7B" w:rsidR="00E70CED" w:rsidRPr="00846583" w:rsidRDefault="00000000" w:rsidP="001F115E">
            <w:sdt>
              <w:sdtPr>
                <w:rPr>
                  <w:rStyle w:val="Style2"/>
                  <w:sz w:val="24"/>
                </w:rPr>
                <w:id w:val="1190730465"/>
                <w15:color w:val="FFCC00"/>
                <w14:checkbox>
                  <w14:checked w14:val="0"/>
                  <w14:checkedState w14:val="2612" w14:font="MS Gothic"/>
                  <w14:uncheckedState w14:val="2610" w14:font="MS Gothic"/>
                </w14:checkbox>
              </w:sdtPr>
              <w:sdtContent>
                <w:r w:rsidR="00CB7AD6" w:rsidRPr="00846583">
                  <w:rPr>
                    <w:rStyle w:val="Style2"/>
                    <w:rFonts w:ascii="MS Gothic" w:eastAsia="MS Gothic" w:hAnsi="MS Gothic"/>
                    <w:sz w:val="24"/>
                  </w:rPr>
                  <w:t>☐</w:t>
                </w:r>
              </w:sdtContent>
            </w:sdt>
            <w:r w:rsidR="00E70CED" w:rsidRPr="00846583">
              <w:t xml:space="preserve"> Taip       </w:t>
            </w:r>
            <w:r w:rsidR="00E70CED" w:rsidRPr="00846583">
              <w:rPr>
                <w:rStyle w:val="Style2"/>
                <w:sz w:val="24"/>
              </w:rPr>
              <w:t xml:space="preserve"> </w:t>
            </w:r>
            <w:sdt>
              <w:sdtPr>
                <w:rPr>
                  <w:rStyle w:val="Style2"/>
                  <w:sz w:val="24"/>
                </w:rPr>
                <w:id w:val="-1760283509"/>
                <w15:color w:val="FFCC00"/>
                <w14:checkbox>
                  <w14:checked w14:val="1"/>
                  <w14:checkedState w14:val="2612" w14:font="MS Gothic"/>
                  <w14:uncheckedState w14:val="2610" w14:font="MS Gothic"/>
                </w14:checkbox>
              </w:sdtPr>
              <w:sdtContent>
                <w:r w:rsidR="00CB7AD6" w:rsidRPr="00846583">
                  <w:rPr>
                    <w:rStyle w:val="Style2"/>
                    <w:rFonts w:ascii="MS Gothic" w:eastAsia="MS Gothic" w:hAnsi="MS Gothic"/>
                    <w:sz w:val="24"/>
                  </w:rPr>
                  <w:t>☒</w:t>
                </w:r>
              </w:sdtContent>
            </w:sdt>
            <w:r w:rsidR="00E70CED" w:rsidRPr="00846583">
              <w:t xml:space="preserve"> Ne</w:t>
            </w:r>
          </w:p>
          <w:p w14:paraId="56165267" w14:textId="1E08E528" w:rsidR="00E70CED" w:rsidRPr="00846583" w:rsidRDefault="00E70CED" w:rsidP="001F115E">
            <w:pPr>
              <w:rPr>
                <w:rFonts w:eastAsia="Arial"/>
              </w:rPr>
            </w:pPr>
          </w:p>
        </w:tc>
      </w:tr>
      <w:tr w:rsidR="00334F18" w:rsidRPr="00846583" w14:paraId="5E0775EB" w14:textId="77777777" w:rsidTr="003F3FFF">
        <w:trPr>
          <w:trHeight w:val="1011"/>
        </w:trPr>
        <w:tc>
          <w:tcPr>
            <w:tcW w:w="632" w:type="dxa"/>
          </w:tcPr>
          <w:p w14:paraId="6829924D" w14:textId="77777777" w:rsidR="00E70CED" w:rsidRPr="00846583" w:rsidRDefault="00E70CED" w:rsidP="001F115E">
            <w:pPr>
              <w:rPr>
                <w:rFonts w:eastAsia="Arial"/>
                <w:b/>
              </w:rPr>
            </w:pPr>
            <w:r w:rsidRPr="00846583">
              <w:rPr>
                <w:rFonts w:eastAsia="Arial"/>
                <w:b/>
                <w:bCs/>
              </w:rPr>
              <w:t>1.5</w:t>
            </w:r>
          </w:p>
        </w:tc>
        <w:tc>
          <w:tcPr>
            <w:tcW w:w="3899" w:type="dxa"/>
          </w:tcPr>
          <w:p w14:paraId="1DDE7CF3" w14:textId="2FF7A402" w:rsidR="00E70CED" w:rsidRPr="00846583" w:rsidRDefault="00E70CED" w:rsidP="001F115E">
            <w:pPr>
              <w:tabs>
                <w:tab w:val="left" w:pos="284"/>
              </w:tabs>
              <w:rPr>
                <w:b/>
                <w:bCs/>
                <w:lang w:eastAsia="lt-LT"/>
              </w:rPr>
            </w:pPr>
            <w:r w:rsidRPr="00846583">
              <w:rPr>
                <w:b/>
                <w:bCs/>
                <w:lang w:eastAsia="lt-LT"/>
              </w:rPr>
              <w:t>Ar atliktas bendras klinikinis vertinimas</w:t>
            </w:r>
          </w:p>
          <w:p w14:paraId="0961228D" w14:textId="77777777" w:rsidR="00E70CED" w:rsidRPr="00846583" w:rsidRDefault="00E70CED" w:rsidP="001F115E">
            <w:pPr>
              <w:tabs>
                <w:tab w:val="left" w:pos="284"/>
              </w:tabs>
              <w:rPr>
                <w:b/>
                <w:bCs/>
                <w:lang w:eastAsia="lt-LT"/>
              </w:rPr>
            </w:pPr>
            <w:r w:rsidRPr="00846583">
              <w:rPr>
                <w:b/>
                <w:bCs/>
                <w:lang w:eastAsia="lt-LT"/>
              </w:rPr>
              <w:t>(Europos Parlamento ir Tarybos reglamentas (ES) 2021/2282)</w:t>
            </w:r>
          </w:p>
          <w:p w14:paraId="7B6C3C1B" w14:textId="77777777" w:rsidR="00336238" w:rsidRPr="00846583" w:rsidRDefault="00336238" w:rsidP="001F115E">
            <w:pPr>
              <w:tabs>
                <w:tab w:val="left" w:pos="284"/>
              </w:tabs>
              <w:rPr>
                <w:b/>
                <w:bCs/>
                <w:lang w:eastAsia="lt-LT"/>
              </w:rPr>
            </w:pPr>
          </w:p>
        </w:tc>
        <w:tc>
          <w:tcPr>
            <w:tcW w:w="4962" w:type="dxa"/>
          </w:tcPr>
          <w:p w14:paraId="024AE31B" w14:textId="5D428604" w:rsidR="00E70CED" w:rsidRPr="00846583" w:rsidRDefault="00000000" w:rsidP="001F115E">
            <w:sdt>
              <w:sdtPr>
                <w:rPr>
                  <w:rStyle w:val="Style2"/>
                  <w:sz w:val="24"/>
                </w:rPr>
                <w:id w:val="-1171564470"/>
                <w15:color w:val="FFCC00"/>
                <w14:checkbox>
                  <w14:checked w14:val="0"/>
                  <w14:checkedState w14:val="2612" w14:font="MS Gothic"/>
                  <w14:uncheckedState w14:val="2610" w14:font="MS Gothic"/>
                </w14:checkbox>
              </w:sdtPr>
              <w:sdtContent>
                <w:r w:rsidR="00E70CED" w:rsidRPr="00846583">
                  <w:rPr>
                    <w:rStyle w:val="Style2"/>
                    <w:rFonts w:ascii="Segoe UI Symbol" w:eastAsia="MS Gothic" w:hAnsi="Segoe UI Symbol" w:cs="Segoe UI Symbol"/>
                    <w:sz w:val="24"/>
                  </w:rPr>
                  <w:t>☐</w:t>
                </w:r>
              </w:sdtContent>
            </w:sdt>
            <w:r w:rsidR="00E70CED" w:rsidRPr="00846583">
              <w:t xml:space="preserve"> Taip       </w:t>
            </w:r>
            <w:r w:rsidR="00E70CED" w:rsidRPr="00846583">
              <w:rPr>
                <w:rStyle w:val="Style2"/>
                <w:sz w:val="24"/>
              </w:rPr>
              <w:t xml:space="preserve"> </w:t>
            </w:r>
            <w:sdt>
              <w:sdtPr>
                <w:rPr>
                  <w:rStyle w:val="Style2"/>
                  <w:sz w:val="24"/>
                </w:rPr>
                <w:id w:val="1448122567"/>
                <w15:color w:val="FFCC00"/>
                <w14:checkbox>
                  <w14:checked w14:val="1"/>
                  <w14:checkedState w14:val="2612" w14:font="MS Gothic"/>
                  <w14:uncheckedState w14:val="2610" w14:font="MS Gothic"/>
                </w14:checkbox>
              </w:sdtPr>
              <w:sdtContent>
                <w:r w:rsidR="00772F40" w:rsidRPr="00846583">
                  <w:rPr>
                    <w:rStyle w:val="Style2"/>
                    <w:rFonts w:ascii="MS Gothic" w:eastAsia="MS Gothic" w:hAnsi="MS Gothic"/>
                    <w:sz w:val="24"/>
                  </w:rPr>
                  <w:t>☒</w:t>
                </w:r>
              </w:sdtContent>
            </w:sdt>
            <w:r w:rsidR="00E70CED" w:rsidRPr="00846583">
              <w:t xml:space="preserve"> Ne</w:t>
            </w:r>
          </w:p>
          <w:p w14:paraId="0DF729B3" w14:textId="564BF058" w:rsidR="00E70CED" w:rsidRPr="00846583" w:rsidRDefault="00E70CED" w:rsidP="001F115E">
            <w:pPr>
              <w:rPr>
                <w:rStyle w:val="Style2"/>
                <w:sz w:val="24"/>
              </w:rPr>
            </w:pPr>
          </w:p>
        </w:tc>
      </w:tr>
      <w:tr w:rsidR="00334F18" w:rsidRPr="00846583" w14:paraId="15E36E93" w14:textId="77777777" w:rsidTr="003F3FFF">
        <w:trPr>
          <w:trHeight w:val="1278"/>
        </w:trPr>
        <w:tc>
          <w:tcPr>
            <w:tcW w:w="632" w:type="dxa"/>
          </w:tcPr>
          <w:p w14:paraId="5F43AA8F" w14:textId="77777777" w:rsidR="00E70CED" w:rsidRPr="00846583" w:rsidRDefault="00E70CED" w:rsidP="001F115E">
            <w:pPr>
              <w:rPr>
                <w:rFonts w:eastAsia="Arial"/>
                <w:b/>
                <w:bCs/>
              </w:rPr>
            </w:pPr>
            <w:r w:rsidRPr="00846583">
              <w:rPr>
                <w:rFonts w:eastAsia="Arial"/>
                <w:b/>
                <w:bCs/>
              </w:rPr>
              <w:lastRenderedPageBreak/>
              <w:t>1.6</w:t>
            </w:r>
          </w:p>
        </w:tc>
        <w:tc>
          <w:tcPr>
            <w:tcW w:w="3899" w:type="dxa"/>
          </w:tcPr>
          <w:p w14:paraId="41F32942" w14:textId="77777777" w:rsidR="00E70CED" w:rsidRPr="00846583" w:rsidRDefault="00E70CED" w:rsidP="001F115E">
            <w:pPr>
              <w:rPr>
                <w:b/>
                <w:bCs/>
                <w:lang w:eastAsia="lt-LT"/>
              </w:rPr>
            </w:pPr>
            <w:r w:rsidRPr="00846583">
              <w:rPr>
                <w:b/>
                <w:bCs/>
                <w:lang w:eastAsia="lt-LT"/>
              </w:rPr>
              <w:t xml:space="preserve">Teikiama kompensuoti terapinė indikacija </w:t>
            </w:r>
          </w:p>
          <w:p w14:paraId="2882A5BD" w14:textId="77777777" w:rsidR="00E70CED" w:rsidRPr="00846583" w:rsidRDefault="00E70CED" w:rsidP="001F115E">
            <w:pPr>
              <w:rPr>
                <w:b/>
                <w:bCs/>
                <w:lang w:eastAsia="lt-LT"/>
              </w:rPr>
            </w:pPr>
          </w:p>
          <w:p w14:paraId="076E0BE7" w14:textId="77777777" w:rsidR="006E1DF9" w:rsidRPr="00846583" w:rsidRDefault="006E1DF9" w:rsidP="001F115E">
            <w:pPr>
              <w:rPr>
                <w:b/>
                <w:bCs/>
                <w:lang w:eastAsia="lt-LT"/>
              </w:rPr>
            </w:pPr>
          </w:p>
          <w:p w14:paraId="177A4459" w14:textId="77777777" w:rsidR="006E1DF9" w:rsidRPr="00846583" w:rsidRDefault="006E1DF9" w:rsidP="001F115E">
            <w:pPr>
              <w:rPr>
                <w:b/>
                <w:bCs/>
                <w:lang w:eastAsia="lt-LT"/>
              </w:rPr>
            </w:pPr>
          </w:p>
          <w:p w14:paraId="41D10CDC" w14:textId="77777777" w:rsidR="006E1DF9" w:rsidRPr="00846583" w:rsidRDefault="006E1DF9" w:rsidP="001F115E">
            <w:pPr>
              <w:rPr>
                <w:b/>
                <w:bCs/>
                <w:lang w:eastAsia="lt-LT"/>
              </w:rPr>
            </w:pPr>
          </w:p>
          <w:p w14:paraId="3FF5B673" w14:textId="77777777" w:rsidR="006E1DF9" w:rsidRPr="00846583" w:rsidRDefault="006E1DF9" w:rsidP="001F115E">
            <w:pPr>
              <w:rPr>
                <w:b/>
                <w:bCs/>
                <w:lang w:eastAsia="lt-LT"/>
              </w:rPr>
            </w:pPr>
          </w:p>
          <w:p w14:paraId="56461CE3" w14:textId="77777777" w:rsidR="006E1DF9" w:rsidRPr="00846583" w:rsidRDefault="006E1DF9" w:rsidP="001F115E">
            <w:pPr>
              <w:rPr>
                <w:b/>
                <w:bCs/>
                <w:lang w:eastAsia="lt-LT"/>
              </w:rPr>
            </w:pPr>
          </w:p>
          <w:p w14:paraId="371D188E" w14:textId="77777777" w:rsidR="00E70CED" w:rsidRPr="00846583" w:rsidRDefault="00E70CED" w:rsidP="001F115E">
            <w:pPr>
              <w:rPr>
                <w:b/>
                <w:bCs/>
                <w:lang w:eastAsia="lt-LT"/>
              </w:rPr>
            </w:pPr>
            <w:r w:rsidRPr="00846583">
              <w:rPr>
                <w:b/>
                <w:bCs/>
                <w:lang w:eastAsia="lt-LT"/>
              </w:rPr>
              <w:t>Kodas pagal TLK-10 AM</w:t>
            </w:r>
          </w:p>
        </w:tc>
        <w:tc>
          <w:tcPr>
            <w:tcW w:w="4962" w:type="dxa"/>
          </w:tcPr>
          <w:p w14:paraId="5E256EEF" w14:textId="77777777" w:rsidR="00CB7AD6" w:rsidRPr="00846583" w:rsidRDefault="00CB7AD6" w:rsidP="00CB7AD6">
            <w:r w:rsidRPr="00846583">
              <w:t xml:space="preserve">IMFINZI derinys su FLOT (fluorouracilas, leukovorinas, oksaliplatina, docetakselis) chemoterapija kaip neoadjuvantinis ir adjuvantinis gydymas, po to skiriant adjuvantinę monoterapiją IMFINZI, skirtas suaugusiųjų, sergančių operabilia skrandžio arba skrandžio ir stemplės jungties adenokarcinoma, gydymui. </w:t>
            </w:r>
          </w:p>
          <w:p w14:paraId="5D1DA6E1" w14:textId="77777777" w:rsidR="00CB7AD6" w:rsidRPr="00846583" w:rsidRDefault="00CB7AD6" w:rsidP="00CB7AD6"/>
          <w:p w14:paraId="10833DB8" w14:textId="5ACF182A" w:rsidR="00E70CED" w:rsidRPr="00846583" w:rsidRDefault="00CB7AD6" w:rsidP="00CB7AD6">
            <w:r w:rsidRPr="00846583">
              <w:t>TLK-10 AM kodas – C15, C16</w:t>
            </w:r>
          </w:p>
        </w:tc>
      </w:tr>
      <w:tr w:rsidR="00334F18" w:rsidRPr="00846583" w14:paraId="01C3C4F5" w14:textId="77777777" w:rsidTr="003F3FFF">
        <w:trPr>
          <w:trHeight w:val="378"/>
        </w:trPr>
        <w:tc>
          <w:tcPr>
            <w:tcW w:w="632" w:type="dxa"/>
          </w:tcPr>
          <w:p w14:paraId="5115AFC1" w14:textId="77777777" w:rsidR="00E70CED" w:rsidRPr="00846583" w:rsidRDefault="00E70CED" w:rsidP="001F115E">
            <w:pPr>
              <w:rPr>
                <w:rFonts w:eastAsia="Arial"/>
                <w:b/>
                <w:bCs/>
              </w:rPr>
            </w:pPr>
            <w:r w:rsidRPr="00846583">
              <w:rPr>
                <w:rFonts w:eastAsia="Arial"/>
                <w:b/>
                <w:bCs/>
              </w:rPr>
              <w:t>1.7</w:t>
            </w:r>
          </w:p>
        </w:tc>
        <w:tc>
          <w:tcPr>
            <w:tcW w:w="3899" w:type="dxa"/>
          </w:tcPr>
          <w:p w14:paraId="48045B5A" w14:textId="77777777" w:rsidR="00E70CED" w:rsidRPr="00846583" w:rsidRDefault="00E70CED" w:rsidP="001F115E">
            <w:pPr>
              <w:rPr>
                <w:b/>
                <w:bCs/>
                <w:u w:val="single"/>
                <w:lang w:eastAsia="lt-LT"/>
              </w:rPr>
            </w:pPr>
            <w:r w:rsidRPr="00846583">
              <w:rPr>
                <w:b/>
                <w:bCs/>
                <w:lang w:eastAsia="lt-LT"/>
              </w:rPr>
              <w:t xml:space="preserve">Teikiamos skyrimo sąlygos </w:t>
            </w:r>
          </w:p>
        </w:tc>
        <w:tc>
          <w:tcPr>
            <w:tcW w:w="4962" w:type="dxa"/>
          </w:tcPr>
          <w:p w14:paraId="6A31562C" w14:textId="43222FC0" w:rsidR="00E70CED" w:rsidRPr="00846583" w:rsidRDefault="00CB7AD6" w:rsidP="00CB7AD6">
            <w:pPr>
              <w:jc w:val="both"/>
            </w:pPr>
            <w:r w:rsidRPr="00846583">
              <w:t>-</w:t>
            </w:r>
          </w:p>
        </w:tc>
      </w:tr>
      <w:tr w:rsidR="00334F18" w:rsidRPr="00846583" w14:paraId="3C32C984" w14:textId="77777777" w:rsidTr="003F3FFF">
        <w:trPr>
          <w:trHeight w:val="378"/>
        </w:trPr>
        <w:tc>
          <w:tcPr>
            <w:tcW w:w="632" w:type="dxa"/>
          </w:tcPr>
          <w:p w14:paraId="4E679EDB" w14:textId="77777777" w:rsidR="00E70CED" w:rsidRPr="00846583" w:rsidRDefault="00E70CED" w:rsidP="001F115E">
            <w:pPr>
              <w:rPr>
                <w:rFonts w:eastAsia="Arial"/>
                <w:b/>
                <w:bCs/>
              </w:rPr>
            </w:pPr>
            <w:r w:rsidRPr="00846583">
              <w:rPr>
                <w:rFonts w:eastAsia="Arial"/>
                <w:b/>
                <w:bCs/>
              </w:rPr>
              <w:t>1.8</w:t>
            </w:r>
          </w:p>
        </w:tc>
        <w:tc>
          <w:tcPr>
            <w:tcW w:w="3899" w:type="dxa"/>
          </w:tcPr>
          <w:p w14:paraId="784605B5" w14:textId="3A924C79" w:rsidR="00E70CED" w:rsidRPr="00846583" w:rsidRDefault="00E70CED" w:rsidP="001F115E">
            <w:pPr>
              <w:rPr>
                <w:b/>
                <w:bCs/>
                <w:lang w:eastAsia="lt-LT"/>
              </w:rPr>
            </w:pPr>
            <w:r w:rsidRPr="00846583">
              <w:rPr>
                <w:b/>
                <w:bCs/>
                <w:lang w:eastAsia="lt-LT"/>
              </w:rPr>
              <w:t>Ekonominė analizė</w:t>
            </w:r>
          </w:p>
        </w:tc>
        <w:tc>
          <w:tcPr>
            <w:tcW w:w="4962" w:type="dxa"/>
          </w:tcPr>
          <w:p w14:paraId="3155F2E8" w14:textId="2A7A3BA0" w:rsidR="00E70CED" w:rsidRPr="00846583" w:rsidRDefault="00000000" w:rsidP="001F115E">
            <w:sdt>
              <w:sdtPr>
                <w:rPr>
                  <w:rStyle w:val="Style2"/>
                  <w:sz w:val="24"/>
                </w:rPr>
                <w:id w:val="356323367"/>
                <w15:color w:val="FFCC00"/>
                <w14:checkbox>
                  <w14:checked w14:val="1"/>
                  <w14:checkedState w14:val="2612" w14:font="MS Gothic"/>
                  <w14:uncheckedState w14:val="2610" w14:font="MS Gothic"/>
                </w14:checkbox>
              </w:sdtPr>
              <w:sdtContent>
                <w:r w:rsidR="00CB7AD6" w:rsidRPr="00846583">
                  <w:rPr>
                    <w:rStyle w:val="Style2"/>
                    <w:rFonts w:ascii="MS Gothic" w:eastAsia="MS Gothic" w:hAnsi="MS Gothic"/>
                    <w:sz w:val="24"/>
                  </w:rPr>
                  <w:t>☒</w:t>
                </w:r>
              </w:sdtContent>
            </w:sdt>
            <w:r w:rsidR="00E70CED" w:rsidRPr="00846583">
              <w:t xml:space="preserve"> Kaštų naudingumo analizė</w:t>
            </w:r>
          </w:p>
          <w:p w14:paraId="49547563" w14:textId="0707E1F9" w:rsidR="00E70CED" w:rsidRPr="00846583" w:rsidRDefault="00000000" w:rsidP="001F115E">
            <w:sdt>
              <w:sdtPr>
                <w:rPr>
                  <w:rStyle w:val="Style2"/>
                  <w:sz w:val="24"/>
                </w:rPr>
                <w:id w:val="-250506580"/>
                <w15:color w:val="FFCC00"/>
                <w14:checkbox>
                  <w14:checked w14:val="0"/>
                  <w14:checkedState w14:val="2612" w14:font="MS Gothic"/>
                  <w14:uncheckedState w14:val="2610" w14:font="MS Gothic"/>
                </w14:checkbox>
              </w:sdtPr>
              <w:sdtContent>
                <w:r w:rsidR="00CB7AD6" w:rsidRPr="00846583">
                  <w:rPr>
                    <w:rStyle w:val="Style2"/>
                    <w:rFonts w:ascii="MS Gothic" w:eastAsia="MS Gothic" w:hAnsi="MS Gothic"/>
                    <w:sz w:val="24"/>
                  </w:rPr>
                  <w:t>☐</w:t>
                </w:r>
              </w:sdtContent>
            </w:sdt>
            <w:r w:rsidR="00E70CED" w:rsidRPr="00846583">
              <w:t xml:space="preserve"> Kaštų mažinimo analizė</w:t>
            </w:r>
          </w:p>
          <w:p w14:paraId="42039008" w14:textId="5726D9D8" w:rsidR="00FE5878" w:rsidRPr="00846583" w:rsidRDefault="00000000" w:rsidP="00FE5878">
            <w:sdt>
              <w:sdtPr>
                <w:rPr>
                  <w:rStyle w:val="Style2"/>
                  <w:sz w:val="24"/>
                </w:rPr>
                <w:id w:val="-1570647133"/>
                <w15:color w:val="FFCC00"/>
                <w14:checkbox>
                  <w14:checked w14:val="0"/>
                  <w14:checkedState w14:val="2612" w14:font="MS Gothic"/>
                  <w14:uncheckedState w14:val="2610" w14:font="MS Gothic"/>
                </w14:checkbox>
              </w:sdtPr>
              <w:sdtContent>
                <w:r w:rsidR="00FE5878" w:rsidRPr="00846583">
                  <w:rPr>
                    <w:rStyle w:val="Style2"/>
                    <w:rFonts w:ascii="Segoe UI Symbol" w:eastAsia="MS Gothic" w:hAnsi="Segoe UI Symbol" w:cs="Segoe UI Symbol"/>
                    <w:sz w:val="24"/>
                  </w:rPr>
                  <w:t>☐</w:t>
                </w:r>
              </w:sdtContent>
            </w:sdt>
            <w:r w:rsidR="00FE5878" w:rsidRPr="00846583">
              <w:t xml:space="preserve"> Neteikiama</w:t>
            </w:r>
          </w:p>
          <w:p w14:paraId="5DC5A0C1" w14:textId="77777777" w:rsidR="00FE5878" w:rsidRPr="00846583" w:rsidRDefault="00FE5878" w:rsidP="001F115E"/>
          <w:p w14:paraId="4B0FE78C" w14:textId="77777777" w:rsidR="00E70CED" w:rsidRPr="00846583" w:rsidRDefault="00E70CED" w:rsidP="001F115E"/>
        </w:tc>
      </w:tr>
    </w:tbl>
    <w:p w14:paraId="2EB7FD31" w14:textId="5615B363" w:rsidR="007A2B68" w:rsidRPr="00846583" w:rsidRDefault="00DC261A" w:rsidP="00063A50">
      <w:pPr>
        <w:pStyle w:val="ListParagraph"/>
        <w:tabs>
          <w:tab w:val="left" w:pos="426"/>
        </w:tabs>
        <w:ind w:left="0"/>
        <w:jc w:val="center"/>
        <w:rPr>
          <w:b/>
          <w:bCs/>
          <w:caps/>
        </w:rPr>
      </w:pPr>
      <w:r w:rsidRPr="00846583">
        <w:rPr>
          <w:b/>
          <w:bCs/>
          <w:caps/>
        </w:rPr>
        <w:t>___________________</w:t>
      </w:r>
    </w:p>
    <w:p w14:paraId="73290081" w14:textId="77777777" w:rsidR="007A2B68" w:rsidRPr="00846583" w:rsidRDefault="007A2B68">
      <w:pPr>
        <w:rPr>
          <w:b/>
          <w:bCs/>
          <w:caps/>
        </w:rPr>
      </w:pPr>
      <w:r w:rsidRPr="00846583">
        <w:rPr>
          <w:b/>
          <w:bCs/>
          <w:caps/>
        </w:rPr>
        <w:br w:type="page"/>
      </w:r>
    </w:p>
    <w:p w14:paraId="5055E8A8" w14:textId="1FB182B9" w:rsidR="002E6F80" w:rsidRPr="00846583" w:rsidRDefault="00CC7832" w:rsidP="00CC09D4">
      <w:pPr>
        <w:pStyle w:val="ListParagraph"/>
        <w:numPr>
          <w:ilvl w:val="0"/>
          <w:numId w:val="12"/>
        </w:numPr>
        <w:tabs>
          <w:tab w:val="left" w:pos="567"/>
        </w:tabs>
        <w:ind w:hanging="720"/>
        <w:rPr>
          <w:b/>
          <w:bCs/>
          <w:caps/>
        </w:rPr>
      </w:pPr>
      <w:r w:rsidRPr="00846583">
        <w:rPr>
          <w:b/>
          <w:bCs/>
          <w:caps/>
        </w:rPr>
        <w:lastRenderedPageBreak/>
        <w:t>Klinikinio vertinimo a</w:t>
      </w:r>
      <w:r w:rsidR="00D4485B" w:rsidRPr="00846583">
        <w:rPr>
          <w:b/>
          <w:bCs/>
          <w:caps/>
        </w:rPr>
        <w:t>pibendrinimas</w:t>
      </w:r>
    </w:p>
    <w:p w14:paraId="25F89291" w14:textId="77F0B72A" w:rsidR="00D4485B" w:rsidRPr="00846583" w:rsidRDefault="00D4485B" w:rsidP="00A93AA6">
      <w:pPr>
        <w:pStyle w:val="ListParagraph"/>
        <w:tabs>
          <w:tab w:val="left" w:pos="426"/>
        </w:tabs>
        <w:ind w:left="0"/>
        <w:rPr>
          <w:b/>
          <w:bCs/>
          <w:caps/>
        </w:rPr>
      </w:pPr>
    </w:p>
    <w:p w14:paraId="21E42469" w14:textId="77777777" w:rsidR="00CB7AD6" w:rsidRPr="00846583" w:rsidRDefault="00CB7AD6" w:rsidP="006E1DF9">
      <w:pPr>
        <w:pStyle w:val="Tekstas"/>
        <w:spacing w:after="0" w:line="276" w:lineRule="auto"/>
        <w:ind w:firstLine="567"/>
        <w:rPr>
          <w:lang w:val="lt-LT"/>
        </w:rPr>
      </w:pPr>
      <w:r w:rsidRPr="00846583">
        <w:rPr>
          <w:lang w:val="lt-LT"/>
        </w:rPr>
        <w:t>Skrandžio vėžys (apimantis skrandžio adenokarcinomą [SV] ir stemplės-skrandžio jungties vėžį [SSJV]) yra penktas pagal dažnumą piktybinis navikas pasaulyje ir penkta pagrindinė mirčių nuo vėžio priežastis. Stemplės vėžys (StV) yra 11-as pagal dažnumą vėžys pasaulyje (7-as vyrams, 16-as moterims) su daugiau nei 600 000 naujų atvejų per metus. 5 metų išgyvenamumas yra mažesnis nei 25%.</w:t>
      </w:r>
    </w:p>
    <w:p w14:paraId="485583FF" w14:textId="77777777" w:rsidR="00CB7AD6" w:rsidRPr="00846583" w:rsidRDefault="00CB7AD6" w:rsidP="006E1DF9">
      <w:pPr>
        <w:pStyle w:val="Tekstas"/>
        <w:spacing w:after="0" w:line="276" w:lineRule="auto"/>
        <w:ind w:firstLine="567"/>
        <w:rPr>
          <w:lang w:val="lt-LT"/>
        </w:rPr>
      </w:pPr>
      <w:r w:rsidRPr="00846583">
        <w:rPr>
          <w:lang w:val="lt-LT"/>
        </w:rPr>
        <w:t>Ankstyvųjų stadijų SV / SSJV /StV dažnai pasireiškia minimaliais, nespecifiniais simptomais arba eiga būna besimptomė, todėl liga dažnai diagnozuojama vėlyvose stadijose. Skaičiuojama, kad maždaug 60 % paciento, sergančių SV /StV, dėl vėlyvos diagnozės arba gretutinių ligų negalima taikyti radikalaus gydymo.</w:t>
      </w:r>
    </w:p>
    <w:p w14:paraId="13B59BCA" w14:textId="77777777" w:rsidR="00CB7AD6" w:rsidRPr="00846583" w:rsidRDefault="00CB7AD6" w:rsidP="006E1DF9">
      <w:pPr>
        <w:pStyle w:val="Tekstas"/>
        <w:spacing w:after="0" w:line="276" w:lineRule="auto"/>
        <w:ind w:firstLine="567"/>
        <w:rPr>
          <w:lang w:val="lt-LT"/>
        </w:rPr>
      </w:pPr>
      <w:r w:rsidRPr="00846583">
        <w:rPr>
          <w:lang w:val="lt-LT"/>
        </w:rPr>
        <w:t>Nacionalinio vėžio registro (NVR) duomenimis, 2020 – 2024 metais SV sergamumas didėjo nuo 198 iki 231 naujų atvejų (vidutiniškai 4,71% kasmet), ligotumas – nuo 234 iki 314 atvejų (7,67%), mirčių skaičius mažėjo nuo 220 iki 187 (-2,80%). Atitinkamai, StV sergamumas didėjo nuo 720 iki 816 naujų atvejų (3.27%), ligotumas – nuo 3211 iki 3222 atvejų (0,09%), mirčių skaičius mažėjo nuo 613 iki 573 (-1,55%).</w:t>
      </w:r>
    </w:p>
    <w:p w14:paraId="3926592B" w14:textId="40F9A17B" w:rsidR="00CB7AD6" w:rsidRPr="00846583" w:rsidRDefault="00CB7AD6" w:rsidP="006E1DF9">
      <w:pPr>
        <w:pStyle w:val="Tekstas"/>
        <w:spacing w:after="0" w:line="276" w:lineRule="auto"/>
        <w:ind w:firstLine="567"/>
        <w:rPr>
          <w:lang w:val="lt-LT"/>
        </w:rPr>
      </w:pPr>
      <w:r w:rsidRPr="00846583">
        <w:rPr>
          <w:lang w:val="lt-LT"/>
        </w:rPr>
        <w:t>Pacientams, kuriems diagnozuotas rezek</w:t>
      </w:r>
      <w:r w:rsidR="006E1DF9" w:rsidRPr="00846583">
        <w:rPr>
          <w:lang w:val="lt-LT"/>
        </w:rPr>
        <w:t>uotinas</w:t>
      </w:r>
      <w:r w:rsidRPr="00846583">
        <w:rPr>
          <w:lang w:val="lt-LT"/>
        </w:rPr>
        <w:t xml:space="preserve"> SV / SSJV, gali būti atliekama radikali operacija siekiant visiško pasveikimo; jos tikslas – pašalinti pirminį naviką ir visus pažeistus regioninius limfmazgius. Gydymo gairėse (pvz., Europos medicininės onkologijos draugijos [ESMO] ir Nacionalinio visuotinio vėžio tinklo [NCCN]) taip pat rekomenduojama taikyti sisteminį gydymą, siekiant sumažinti ligos atkryčio riziką. Konkrečiai, perioperacinė chemoterapija, skiriant 5-fluorouracilą, leukovoriną, oksaliplatiną ir docetakselį (FLOT derinys) tiek prieš operaciją, tiek po jos, yra laikoma pirmo pasirinkimo metodu ir standartiniu gydymu (angl. </w:t>
      </w:r>
      <w:r w:rsidRPr="00846583">
        <w:rPr>
          <w:i/>
          <w:iCs/>
          <w:lang w:val="lt-LT"/>
        </w:rPr>
        <w:t>standard of care</w:t>
      </w:r>
      <w:r w:rsidRPr="00846583">
        <w:rPr>
          <w:lang w:val="lt-LT"/>
        </w:rPr>
        <w:t>, SoC) pacientams, sergantiems rezektabiliu SV / SSJV. Naujausias ESOPEC tyrimas (stemplės vėžio / SSJ adenokarcinomos) parodė perioperacinės FLOT schemos pranašumą prieš neoadjuvantinę chemoradioterapiją (CRT), todėl atnaujintose gydymo gairėse šiai pacientų grupei teikiama pirmenybė perioperaciniam gydymui pagal FLOT schemą. Nors imunoterapinis (IO) gydymas tapo standartu gydant pažengusį ar metastazavusį SV / SSJV, šiuo metu jis nėra prieinamas kaip perioperacinis gydymas rezektabilios ligos atveju.</w:t>
      </w:r>
    </w:p>
    <w:p w14:paraId="0F3796B9" w14:textId="77777777" w:rsidR="00CB7AD6" w:rsidRPr="00846583" w:rsidRDefault="00CB7AD6" w:rsidP="006E1DF9">
      <w:pPr>
        <w:pStyle w:val="Tekstas"/>
        <w:spacing w:after="0" w:line="276" w:lineRule="auto"/>
        <w:ind w:firstLine="567"/>
        <w:rPr>
          <w:lang w:val="lt-LT"/>
        </w:rPr>
      </w:pPr>
      <w:r w:rsidRPr="00846583">
        <w:rPr>
          <w:rFonts w:eastAsia="Calibri"/>
          <w:lang w:val="lt-LT"/>
        </w:rPr>
        <w:t xml:space="preserve">Remiantis tarptautinėmis Nacionalinio išsamaus vėžio tinklo (NCCN) ir </w:t>
      </w:r>
      <w:r w:rsidRPr="00846583">
        <w:rPr>
          <w:lang w:val="lt-LT"/>
        </w:rPr>
        <w:t>Europos medicininės onkologijos draugijos (ESMO) skrandžio adenokarcinomos ir stemplės-skrandžio jungties vėžio gairėmis</w:t>
      </w:r>
      <w:r w:rsidRPr="00846583">
        <w:rPr>
          <w:rFonts w:eastAsia="Calibri"/>
          <w:lang w:val="lt-LT"/>
        </w:rPr>
        <w:t>, pacientams perioperatyviam gydymui yra rekomenduojama FLOT terapija. Naujausiuose NCCN gairėse, jau rekomenduojama ir FLOT+durvulumabo terapija.</w:t>
      </w:r>
    </w:p>
    <w:p w14:paraId="629DF159" w14:textId="06286CC1" w:rsidR="00CB7AD6" w:rsidRPr="00846583" w:rsidRDefault="00CB7AD6" w:rsidP="006E1DF9">
      <w:pPr>
        <w:spacing w:before="1" w:line="276" w:lineRule="auto"/>
        <w:ind w:left="2" w:right="138" w:firstLine="565"/>
        <w:jc w:val="both"/>
      </w:pPr>
      <w:r w:rsidRPr="00846583">
        <w:t>Durvalumabas yra pilnai žmogaus imunoglobulinų G1 kapa (IgG1κ) grupės monokloninis antikūna</w:t>
      </w:r>
      <w:r w:rsidR="00F82AE2" w:rsidRPr="00846583">
        <w:t>s,</w:t>
      </w:r>
      <w:r w:rsidRPr="00846583">
        <w:t xml:space="preserve"> kuris</w:t>
      </w:r>
      <w:r w:rsidR="00F82AE2" w:rsidRPr="00846583">
        <w:t xml:space="preserve"> </w:t>
      </w:r>
      <w:r w:rsidRPr="00846583">
        <w:t>selektyviai blokuoja PD-L1 sąveiką su PD-1 ir CD80.</w:t>
      </w:r>
    </w:p>
    <w:p w14:paraId="6040E1BC" w14:textId="77777777" w:rsidR="00CB7AD6" w:rsidRPr="00846583" w:rsidRDefault="00CB7AD6" w:rsidP="006E1DF9">
      <w:pPr>
        <w:spacing w:before="1" w:line="276" w:lineRule="auto"/>
        <w:ind w:left="2" w:right="138" w:firstLine="565"/>
        <w:jc w:val="both"/>
        <w:rPr>
          <w:lang w:bidi="lt-LT"/>
        </w:rPr>
      </w:pPr>
      <w:r w:rsidRPr="00846583">
        <w:rPr>
          <w:lang w:bidi="lt-LT"/>
        </w:rPr>
        <w:t>Remiantis paraiškoje nurodyta informacija, Pareiškėjas numato šio vaistinio preparato vietą gydymo algoritme, kaip pirmos eilės gydymą (perioperaciniam gydymui), tokiomis pačiomis skyrimo sąlygomis kaip ir dabar kompensuojama FLOT terapija.</w:t>
      </w:r>
    </w:p>
    <w:p w14:paraId="3420D38C" w14:textId="77777777" w:rsidR="00CB7AD6" w:rsidRPr="00846583" w:rsidRDefault="00CB7AD6" w:rsidP="006E1DF9">
      <w:pPr>
        <w:spacing w:before="1" w:line="276" w:lineRule="auto"/>
        <w:ind w:left="2" w:right="138" w:firstLine="565"/>
        <w:jc w:val="both"/>
        <w:rPr>
          <w:lang w:bidi="lt-LT"/>
        </w:rPr>
      </w:pPr>
      <w:r w:rsidRPr="00846583">
        <w:rPr>
          <w:rFonts w:eastAsia="Arial"/>
          <w:color w:val="000000"/>
        </w:rPr>
        <w:t xml:space="preserve">Paraiškoje durvulumabo + FLOT terapijos efektyvumas buvo grindžiamas remiantis tiesioginio palyginimo duomenimis, lyginant su FLOT + placebo. </w:t>
      </w:r>
    </w:p>
    <w:p w14:paraId="6A606B10" w14:textId="77777777" w:rsidR="00CB7AD6" w:rsidRPr="00846583" w:rsidRDefault="00CB7AD6" w:rsidP="006E1DF9">
      <w:pPr>
        <w:tabs>
          <w:tab w:val="left" w:pos="426"/>
        </w:tabs>
        <w:spacing w:line="276" w:lineRule="auto"/>
        <w:ind w:firstLine="567"/>
        <w:jc w:val="both"/>
        <w:rPr>
          <w:i/>
          <w:iCs/>
          <w:lang w:bidi="lt-LT"/>
        </w:rPr>
      </w:pPr>
    </w:p>
    <w:p w14:paraId="0FF8306A" w14:textId="77777777" w:rsidR="00CB7AD6" w:rsidRPr="00846583" w:rsidRDefault="00CB7AD6" w:rsidP="006E1DF9">
      <w:pPr>
        <w:tabs>
          <w:tab w:val="left" w:pos="426"/>
        </w:tabs>
        <w:spacing w:line="276" w:lineRule="auto"/>
        <w:ind w:firstLine="567"/>
        <w:jc w:val="both"/>
        <w:rPr>
          <w:i/>
          <w:iCs/>
          <w:lang w:bidi="lt-LT"/>
        </w:rPr>
      </w:pPr>
      <w:r w:rsidRPr="00846583">
        <w:rPr>
          <w:i/>
          <w:iCs/>
          <w:lang w:bidi="lt-LT"/>
        </w:rPr>
        <w:t>Tiesioginis palyginamasis tyrimas</w:t>
      </w:r>
    </w:p>
    <w:p w14:paraId="3F65FFB1" w14:textId="77777777" w:rsidR="00CB7AD6" w:rsidRPr="00846583" w:rsidRDefault="00CB7AD6" w:rsidP="006E1DF9">
      <w:pPr>
        <w:tabs>
          <w:tab w:val="left" w:pos="426"/>
        </w:tabs>
        <w:spacing w:line="276" w:lineRule="auto"/>
        <w:ind w:firstLine="567"/>
        <w:jc w:val="both"/>
      </w:pPr>
    </w:p>
    <w:p w14:paraId="470EF115" w14:textId="5EC58AD2" w:rsidR="00CB7AD6" w:rsidRPr="00846583" w:rsidRDefault="00CB7AD6" w:rsidP="006E1DF9">
      <w:pPr>
        <w:pStyle w:val="Tekstas"/>
        <w:spacing w:after="0" w:line="276" w:lineRule="auto"/>
        <w:ind w:firstLine="567"/>
        <w:rPr>
          <w:lang w:val="lt-LT"/>
        </w:rPr>
      </w:pPr>
      <w:r w:rsidRPr="00846583">
        <w:rPr>
          <w:lang w:val="lt-LT"/>
        </w:rPr>
        <w:tab/>
        <w:t xml:space="preserve">Pateiktas MATTERHORN tyrimas – tai daugiacentris atsitiktinių imčių dvigubai koduotas placebu kontroliuojamas III fazės tyrimas, kurio </w:t>
      </w:r>
      <w:r w:rsidR="00F82AE2" w:rsidRPr="00846583">
        <w:rPr>
          <w:lang w:val="lt-LT"/>
        </w:rPr>
        <w:t>tikslas</w:t>
      </w:r>
      <w:r w:rsidRPr="00846583">
        <w:rPr>
          <w:lang w:val="lt-LT"/>
        </w:rPr>
        <w:t xml:space="preserve"> – ištirti IMFINZI derinio su FLOT (5-FU, leukovorinas, oksaliplatina, docetakselis) chemoterapija, skiriant neoadjuvantinį ir adjuvantinį </w:t>
      </w:r>
      <w:r w:rsidRPr="00846583">
        <w:rPr>
          <w:lang w:val="lt-LT"/>
        </w:rPr>
        <w:lastRenderedPageBreak/>
        <w:t xml:space="preserve">gydymą, po to – adjuvantinę monoterapiją IMFINZI, veiksmingumą gydant pacientus, kuriems yra diagnozuota operabili skrandžio arba skrandžio ir stemplės jungties adenokarcinoma (nuo IIA iki IVA stadijos). Tyrimo populiacija iš esmės atitiko Lietuvos tikslinę </w:t>
      </w:r>
      <w:r w:rsidR="00F82AE2" w:rsidRPr="00846583">
        <w:rPr>
          <w:lang w:val="lt-LT"/>
        </w:rPr>
        <w:t>populiaciją</w:t>
      </w:r>
      <w:r w:rsidRPr="00846583">
        <w:rPr>
          <w:lang w:val="lt-LT"/>
        </w:rPr>
        <w:t>.</w:t>
      </w:r>
    </w:p>
    <w:p w14:paraId="23438CEB" w14:textId="77777777" w:rsidR="00CB7AD6" w:rsidRPr="00846583" w:rsidRDefault="00CB7AD6" w:rsidP="006E1DF9">
      <w:pPr>
        <w:pStyle w:val="Tekstas"/>
        <w:spacing w:after="0" w:line="276" w:lineRule="auto"/>
        <w:ind w:firstLine="567"/>
        <w:rPr>
          <w:lang w:val="lt-LT"/>
        </w:rPr>
      </w:pPr>
      <w:r w:rsidRPr="00846583">
        <w:rPr>
          <w:lang w:val="lt-LT"/>
        </w:rPr>
        <w:t>MATTERHORN tyrime perioperacinis durvalumabo ir FLOT derinys kliniškai ir statistiškai reikšmingai sumažino ligos progresavimo, atkryčio ar mirties riziką, palyginti su vien FLOT: EFS rizikos santykis buvo </w:t>
      </w:r>
      <w:r w:rsidRPr="00846583">
        <w:rPr>
          <w:bCs/>
          <w:lang w:val="lt-LT"/>
        </w:rPr>
        <w:t>HR 0,71 (95 % PI 0,58–0,86; p&lt;0,001)</w:t>
      </w:r>
      <w:r w:rsidRPr="00846583">
        <w:rPr>
          <w:lang w:val="lt-LT"/>
        </w:rPr>
        <w:t>. 24 mėn. EFS buvo 67,4 % durvalumabo + FLOT grupėje ir 58,5 % kontrolinėje grupėje. Vertinimo metu buvo įvykę apie </w:t>
      </w:r>
      <w:r w:rsidRPr="00846583">
        <w:rPr>
          <w:bCs/>
          <w:lang w:val="lt-LT"/>
        </w:rPr>
        <w:t>84 % iš anksto suplanuotų EFS įvykių</w:t>
      </w:r>
      <w:r w:rsidRPr="00846583">
        <w:rPr>
          <w:lang w:val="lt-LT"/>
        </w:rPr>
        <w:t xml:space="preserve">, todėl, nors analizė formaliai buvo tarpinė, ji jau buvo arti galutinei analizei numatyto įvykių skaičiaus. Kaplan–Meier kreivės EFS rezultatui nuo maždaug 8–9 mėn. nuosekliai atsiskyrė ir išliko atsiskyrusios. </w:t>
      </w:r>
    </w:p>
    <w:p w14:paraId="7181E87D" w14:textId="77777777" w:rsidR="00CB7AD6" w:rsidRPr="00846583" w:rsidRDefault="00CB7AD6" w:rsidP="006E1DF9">
      <w:pPr>
        <w:pStyle w:val="Tekstas"/>
        <w:spacing w:after="0" w:line="276" w:lineRule="auto"/>
        <w:ind w:firstLine="567"/>
        <w:rPr>
          <w:lang w:val="lt-LT"/>
        </w:rPr>
      </w:pPr>
      <w:r w:rsidRPr="00846583">
        <w:rPr>
          <w:lang w:val="lt-LT"/>
        </w:rPr>
        <w:t>Galutinėje OS analizėje perioperacinis durvalumabo ir FLOT derinys statistiškai reikšmingai sumažino mirties riziką, palyginti su vien FLOT: </w:t>
      </w:r>
      <w:r w:rsidRPr="00846583">
        <w:rPr>
          <w:bCs/>
          <w:lang w:val="lt-LT"/>
        </w:rPr>
        <w:t>HR 0,78 (95 % PI 0,63–0,96)</w:t>
      </w:r>
      <w:r w:rsidRPr="00846583">
        <w:rPr>
          <w:lang w:val="lt-LT"/>
        </w:rPr>
        <w:t>. 36 mėn. bendrasis išgyvenamumas buvo apie </w:t>
      </w:r>
      <w:r w:rsidRPr="00846583">
        <w:rPr>
          <w:bCs/>
          <w:lang w:val="lt-LT"/>
        </w:rPr>
        <w:t>68,6 % durvalumabo + FLOT grupėje ir 61,9 % kontrolinėje grupėje</w:t>
      </w:r>
      <w:r w:rsidRPr="00846583">
        <w:rPr>
          <w:lang w:val="lt-LT"/>
        </w:rPr>
        <w:t>, t. y. absoliutus skirtumas sudarė apie </w:t>
      </w:r>
      <w:r w:rsidRPr="00846583">
        <w:rPr>
          <w:bCs/>
          <w:lang w:val="lt-LT"/>
        </w:rPr>
        <w:t>6,7 proc. punkto</w:t>
      </w:r>
      <w:r w:rsidRPr="00846583">
        <w:rPr>
          <w:lang w:val="lt-LT"/>
        </w:rPr>
        <w:t>. Galutinės analizės metu OS duomenų brandumas buvo apie </w:t>
      </w:r>
      <w:r w:rsidRPr="00846583">
        <w:rPr>
          <w:bCs/>
          <w:lang w:val="lt-LT"/>
        </w:rPr>
        <w:t>37 %</w:t>
      </w:r>
      <w:r w:rsidRPr="00846583">
        <w:rPr>
          <w:lang w:val="lt-LT"/>
        </w:rPr>
        <w:t xml:space="preserve">, o medianinis OS dar nebuvo pasiektas nė vienoje gydymo grupėje. Vis dėlto ši analizė buvo iš anksto suplanuota ir buvo pasiektas iš anksto numatytas duomenų brandumo lygis (35 </w:t>
      </w:r>
      <w:r w:rsidRPr="00846583">
        <w:rPr>
          <w:bCs/>
          <w:lang w:val="lt-LT"/>
        </w:rPr>
        <w:t>%</w:t>
      </w:r>
      <w:r w:rsidRPr="00846583">
        <w:rPr>
          <w:lang w:val="lt-LT"/>
        </w:rPr>
        <w:t>), todėl statistiškai reikšmingas OS rezultatas laikomas validžiu. </w:t>
      </w:r>
    </w:p>
    <w:p w14:paraId="1FC0EA70" w14:textId="77777777" w:rsidR="00CB7AD6" w:rsidRPr="00846583" w:rsidRDefault="00CB7AD6" w:rsidP="006E1DF9">
      <w:pPr>
        <w:pStyle w:val="Tekstas"/>
        <w:spacing w:after="0" w:line="276" w:lineRule="auto"/>
        <w:ind w:firstLine="567"/>
        <w:rPr>
          <w:lang w:val="lt-LT"/>
        </w:rPr>
      </w:pPr>
      <w:r w:rsidRPr="00846583">
        <w:rPr>
          <w:lang w:val="lt-LT"/>
        </w:rPr>
        <w:t>Patologinio visiško atsako dažnis buvo reikšmingai didesnis durvalumabo + FLOT grupėje nei kontrolinėje FLOT grupėje: </w:t>
      </w:r>
      <w:r w:rsidRPr="00846583">
        <w:rPr>
          <w:bCs/>
          <w:lang w:val="lt-LT"/>
        </w:rPr>
        <w:t>19,2 % vs 7,2 %</w:t>
      </w:r>
      <w:r w:rsidRPr="00846583">
        <w:rPr>
          <w:lang w:val="lt-LT"/>
        </w:rPr>
        <w:t>, o absoliutus skirtumas sudarė apie </w:t>
      </w:r>
      <w:r w:rsidRPr="00846583">
        <w:rPr>
          <w:bCs/>
          <w:lang w:val="lt-LT"/>
        </w:rPr>
        <w:t>12 proc. punktų</w:t>
      </w:r>
      <w:r w:rsidRPr="00846583">
        <w:rPr>
          <w:lang w:val="lt-LT"/>
        </w:rPr>
        <w:t>. Šis rezultatas rodo ryškesnį priešoperacinį naviko atsaką pridėjus durvalumabą. Tai laikoma svarbia palaikančia veiksmingumo baigtimi, nes didesnis pCR gali reikšti geresnį naviko regresijos laipsnį, didesnį naviko stadijos sumažėjimą po neoadjuvantinio gydymo ir potencialiai mažesnę likutinės ar mikrometastazinės ligos naštą.</w:t>
      </w:r>
    </w:p>
    <w:p w14:paraId="46EE9B3C" w14:textId="77777777" w:rsidR="00CB7AD6" w:rsidRPr="00846583" w:rsidRDefault="00CB7AD6" w:rsidP="006E1DF9">
      <w:pPr>
        <w:pStyle w:val="Tekstas"/>
        <w:spacing w:after="0" w:line="276" w:lineRule="auto"/>
        <w:ind w:firstLine="567"/>
        <w:rPr>
          <w:lang w:val="lt-LT"/>
        </w:rPr>
      </w:pPr>
      <w:r w:rsidRPr="00846583">
        <w:rPr>
          <w:lang w:val="lt-LT"/>
        </w:rPr>
        <w:t>Papildomos MATTERHORN baigtys nuosekliai palaikė pagrindinius veiksmingumo rezultatus. R0 rezekcijos dažnis tarp gydymo grupių reikšmingai nesiskyrė. DFS rezultatai buvo palankūs durvalumabo grupei, tačiau vertinami kaip palaikantys, nes EFS geriau atspindi visą perioperacinio gydymo laikotarpį.</w:t>
      </w:r>
    </w:p>
    <w:p w14:paraId="30491B6E" w14:textId="5B6B7254" w:rsidR="00CB7AD6" w:rsidRPr="00846583" w:rsidRDefault="006E1DF9" w:rsidP="006E1DF9">
      <w:pPr>
        <w:tabs>
          <w:tab w:val="left" w:pos="426"/>
        </w:tabs>
        <w:spacing w:line="276" w:lineRule="auto"/>
        <w:jc w:val="both"/>
        <w:rPr>
          <w:b/>
          <w:lang w:eastAsia="lt-LT"/>
        </w:rPr>
      </w:pPr>
      <w:r w:rsidRPr="00846583">
        <w:rPr>
          <w:bCs/>
          <w:lang w:eastAsia="lt-LT"/>
        </w:rPr>
        <w:tab/>
      </w:r>
      <w:r w:rsidR="00CB7AD6" w:rsidRPr="00846583">
        <w:rPr>
          <w:bCs/>
          <w:lang w:eastAsia="lt-LT"/>
        </w:rPr>
        <w:t>Siūlomo kompensuoti vaistinio preparato palyginamasis veiksmingumas yra įvertintas kaip</w:t>
      </w:r>
      <w:r w:rsidR="00CB7AD6" w:rsidRPr="00846583">
        <w:rPr>
          <w:bCs/>
          <w:i/>
          <w:iCs/>
          <w:lang w:eastAsia="lt-LT"/>
        </w:rPr>
        <w:t xml:space="preserve"> didesnis</w:t>
      </w:r>
      <w:r w:rsidR="00CB7AD6" w:rsidRPr="00846583">
        <w:rPr>
          <w:bCs/>
          <w:lang w:eastAsia="lt-LT"/>
        </w:rPr>
        <w:t xml:space="preserve"> lyginant su įprasta klinikine praktika, t.</w:t>
      </w:r>
      <w:r w:rsidR="00F82AE2" w:rsidRPr="00846583">
        <w:rPr>
          <w:bCs/>
          <w:lang w:eastAsia="lt-LT"/>
        </w:rPr>
        <w:t xml:space="preserve"> </w:t>
      </w:r>
      <w:r w:rsidR="00CB7AD6" w:rsidRPr="00846583">
        <w:rPr>
          <w:bCs/>
          <w:lang w:eastAsia="lt-LT"/>
        </w:rPr>
        <w:t>y. a</w:t>
      </w:r>
      <w:r w:rsidR="00CB7AD6" w:rsidRPr="00846583">
        <w:t>titinka Vaistinių preparatų ir medicinos pagalbos priemonių įrašymo į kompensavimo sąrašus ir jų keitimo tvarkos aprašo, patvirtinto Lietuvos Respublikos sveikatos apsaugos ministro 2002 m. balandžio 5 d. įsakymu Nr. V-159 „Dėl vaistinių preparatų ir medicinos pagalbos priemonių įrašymo į kompensavimo sąrašus ir jų keitimo tvarkos aprašo patvirtinimo“ 29.1.1 papunktį.</w:t>
      </w:r>
    </w:p>
    <w:p w14:paraId="39C1ADA8" w14:textId="07FD881A" w:rsidR="00AC5129" w:rsidRPr="00846583" w:rsidRDefault="00AC5129" w:rsidP="006E1DF9">
      <w:pPr>
        <w:pStyle w:val="ListParagraph"/>
        <w:tabs>
          <w:tab w:val="left" w:pos="426"/>
        </w:tabs>
        <w:spacing w:line="276" w:lineRule="auto"/>
        <w:ind w:left="0"/>
        <w:rPr>
          <w:b/>
          <w:bCs/>
          <w:caps/>
        </w:rPr>
      </w:pPr>
    </w:p>
    <w:p w14:paraId="7DE09EB5" w14:textId="5FA00B0B" w:rsidR="00E03C3F" w:rsidRPr="00846583" w:rsidRDefault="00CC7832" w:rsidP="006E1DF9">
      <w:pPr>
        <w:pStyle w:val="ListParagraph"/>
        <w:numPr>
          <w:ilvl w:val="0"/>
          <w:numId w:val="12"/>
        </w:numPr>
        <w:tabs>
          <w:tab w:val="left" w:pos="567"/>
        </w:tabs>
        <w:spacing w:line="276" w:lineRule="auto"/>
        <w:ind w:hanging="720"/>
        <w:rPr>
          <w:b/>
          <w:bCs/>
          <w:caps/>
        </w:rPr>
      </w:pPr>
      <w:r w:rsidRPr="00846583">
        <w:rPr>
          <w:b/>
          <w:bCs/>
          <w:caps/>
        </w:rPr>
        <w:t xml:space="preserve">ekonominio vertinimo </w:t>
      </w:r>
      <w:r w:rsidR="002F0E4F" w:rsidRPr="00846583">
        <w:rPr>
          <w:b/>
          <w:bCs/>
          <w:caps/>
        </w:rPr>
        <w:t>apibendrinimas</w:t>
      </w:r>
    </w:p>
    <w:p w14:paraId="19D48BCD" w14:textId="2C583C57" w:rsidR="00183F54" w:rsidRPr="00846583" w:rsidRDefault="00183F54" w:rsidP="006E1DF9">
      <w:pPr>
        <w:tabs>
          <w:tab w:val="left" w:pos="567"/>
        </w:tabs>
        <w:spacing w:line="276" w:lineRule="auto"/>
        <w:rPr>
          <w:b/>
          <w:bCs/>
          <w:caps/>
        </w:rPr>
      </w:pPr>
    </w:p>
    <w:p w14:paraId="332BDF5A" w14:textId="440DEAC4" w:rsidR="007F6C04" w:rsidRPr="00846583" w:rsidRDefault="007F6C04" w:rsidP="006E1DF9">
      <w:pPr>
        <w:spacing w:line="276" w:lineRule="auto"/>
        <w:ind w:firstLine="450"/>
        <w:jc w:val="both"/>
      </w:pPr>
      <w:r w:rsidRPr="00846583">
        <w:rPr>
          <w:lang w:eastAsia="lt-LT"/>
        </w:rPr>
        <w:t>KNA įprastinėje atvejo analizėje vertinamos populiacijos charakteristikos pagrįstos durvalumabo pagrindinio klinikinio tyrimo (</w:t>
      </w:r>
      <w:r w:rsidRPr="00846583">
        <w:t>MATTERHORN</w:t>
      </w:r>
      <w:r w:rsidRPr="00846583">
        <w:rPr>
          <w:lang w:eastAsia="lt-LT"/>
        </w:rPr>
        <w:t>, III fazės) duomenimis atitinka kompensavimui teikiamos indikacijos populiaciją, t.</w:t>
      </w:r>
      <w:r w:rsidR="00F82AE2" w:rsidRPr="00846583">
        <w:rPr>
          <w:lang w:eastAsia="lt-LT"/>
        </w:rPr>
        <w:t xml:space="preserve"> </w:t>
      </w:r>
      <w:r w:rsidRPr="00846583">
        <w:rPr>
          <w:lang w:eastAsia="lt-LT"/>
        </w:rPr>
        <w:t xml:space="preserve">y suaugę pacientai </w:t>
      </w:r>
      <w:r w:rsidRPr="00846583">
        <w:t>sergantys operabilia skrandžio arba skrandžio ir stemplės jungties adenokarcinoma.</w:t>
      </w:r>
    </w:p>
    <w:p w14:paraId="35245809" w14:textId="77777777" w:rsidR="007F6C04" w:rsidRPr="00846583" w:rsidRDefault="007F6C04" w:rsidP="006E1DF9">
      <w:pPr>
        <w:spacing w:line="276" w:lineRule="auto"/>
        <w:ind w:firstLine="450"/>
        <w:jc w:val="both"/>
      </w:pPr>
      <w:r w:rsidRPr="00846583">
        <w:t>Lietuvoje pacientams, kuriems nustatyta nurodyta indikacija, šiuo metu yra kompensuojamas gydymas FLOT terapija. Palyginamasis gydymas yra tinkamas.</w:t>
      </w:r>
    </w:p>
    <w:p w14:paraId="4E523107" w14:textId="77777777" w:rsidR="007F6C04" w:rsidRPr="00846583" w:rsidRDefault="007F6C04" w:rsidP="006E1DF9">
      <w:pPr>
        <w:spacing w:line="276" w:lineRule="auto"/>
        <w:ind w:firstLine="450"/>
        <w:jc w:val="both"/>
      </w:pPr>
      <w:r w:rsidRPr="00846583">
        <w:rPr>
          <w:iCs/>
        </w:rPr>
        <w:t>Klinikiniai duomenys apie veiksmingumą, vertinamąsias baigtis, sekančių eilių gydymą, saugumą ir su sveikata susijusią gyvenimo kokybę (HRQoL) KNA pagrįsti MATTERHORN klinikinio tyrimo duomenimis (pagrindinis tyrimas, skirtas perioperaciniam durvalumabo ir FLOT deriniui tikslinėje pacientų populiacijoje).</w:t>
      </w:r>
    </w:p>
    <w:p w14:paraId="422FB8A1" w14:textId="684594E8" w:rsidR="007F6C04" w:rsidRPr="00846583" w:rsidRDefault="007F6C04" w:rsidP="006E1DF9">
      <w:pPr>
        <w:spacing w:line="276" w:lineRule="auto"/>
        <w:ind w:firstLine="450"/>
        <w:jc w:val="both"/>
      </w:pPr>
      <w:r w:rsidRPr="00846583">
        <w:rPr>
          <w:iCs/>
        </w:rPr>
        <w:lastRenderedPageBreak/>
        <w:t xml:space="preserve">Pareiškėjas duomenis po klinikinio tyrimo pabaigos ekstrapoliuoja. </w:t>
      </w:r>
      <w:r w:rsidRPr="00846583">
        <w:rPr>
          <w:rStyle w:val="CommentSubjectChar"/>
          <w:b w:val="0"/>
        </w:rPr>
        <w:t xml:space="preserve">Taikoma </w:t>
      </w:r>
      <w:r w:rsidR="00BA14CB">
        <w:rPr>
          <w:rStyle w:val="CommentSubjectChar"/>
          <w:b w:val="0"/>
        </w:rPr>
        <w:t>***</w:t>
      </w:r>
      <w:r w:rsidRPr="00846583">
        <w:rPr>
          <w:rStyle w:val="CommentSubjectChar"/>
          <w:b w:val="0"/>
        </w:rPr>
        <w:t xml:space="preserve"> m. (viso gyvenimo) laiko perspektyva (vid. pacientų amžius modelio pradžioje – 61 m.). Laikoma, kad vertinamas laikotarpis yra pakankamos trukmės, kad būtų galima įvertinti sveikatai sukuriamą naudą ir kaštus gydant</w:t>
      </w:r>
      <w:r w:rsidRPr="00846583">
        <w:t xml:space="preserve"> operabilią skrandžio arba skrandžio ir stemplės jungties adenokarcinomą. KNA taikomas</w:t>
      </w:r>
      <w:r w:rsidRPr="00846583">
        <w:rPr>
          <w:iCs/>
          <w:lang w:eastAsia="lt-LT"/>
        </w:rPr>
        <w:t xml:space="preserve"> </w:t>
      </w:r>
      <w:r w:rsidRPr="00846583">
        <w:t xml:space="preserve">trijų būsenų pusiau Markovo modelis (1 pav., angl. </w:t>
      </w:r>
      <w:r w:rsidRPr="00846583">
        <w:rPr>
          <w:i/>
          <w:iCs/>
        </w:rPr>
        <w:t>three state semi-Markov model</w:t>
      </w:r>
      <w:r w:rsidRPr="00846583">
        <w:t>), skirtas simuliuoti operabilaus skrandžio arba skrandžio ir stemplės jungties adenokarcinoma sergančių pacientų kohortos gydymo eigą. Modelis apima šias sveikatos būkles: 1) be ligos požymių / be įvykių (EF), 2) ligos recidyvas (RD) ir 3) mirtis (D) ir yra laikomas tinkamu.</w:t>
      </w:r>
    </w:p>
    <w:p w14:paraId="3BCABF39" w14:textId="77777777" w:rsidR="007F6C04" w:rsidRPr="00846583" w:rsidRDefault="007F6C04" w:rsidP="006E1DF9">
      <w:pPr>
        <w:spacing w:line="276" w:lineRule="auto"/>
        <w:ind w:firstLine="450"/>
        <w:jc w:val="both"/>
      </w:pPr>
      <w:r w:rsidRPr="00846583">
        <w:rPr>
          <w:color w:val="000000"/>
          <w:lang w:eastAsia="lt-LT"/>
        </w:rPr>
        <w:t>Apibendrinant Pareiškėjo taikomas prielaidas, vertinant efektyvumo skirtumus tarp siūlomo ir palyginamojo gydymo yra laikomis pagrįstomis tik trumpuoju laikotarpiu:</w:t>
      </w:r>
    </w:p>
    <w:p w14:paraId="6C16B32A" w14:textId="64F42A68" w:rsidR="007F6C04" w:rsidRPr="00846583" w:rsidRDefault="007F6C04" w:rsidP="006E1DF9">
      <w:pPr>
        <w:pStyle w:val="ListParagraph"/>
        <w:numPr>
          <w:ilvl w:val="0"/>
          <w:numId w:val="19"/>
        </w:numPr>
        <w:tabs>
          <w:tab w:val="left" w:pos="450"/>
        </w:tabs>
        <w:spacing w:line="276" w:lineRule="auto"/>
        <w:ind w:left="0" w:firstLine="0"/>
        <w:jc w:val="both"/>
      </w:pPr>
      <w:r w:rsidRPr="00846583">
        <w:t xml:space="preserve">Tarnyba sutinka su taikomu individualiu kreivių parametriniu modeliavimu, atsižvelgiant, į Pareiškėjo pateiktas logaritminę ir </w:t>
      </w:r>
      <w:r w:rsidRPr="00846583">
        <w:rPr>
          <w:rStyle w:val="Style2"/>
          <w:rFonts w:eastAsia="MS Gothic"/>
          <w:sz w:val="24"/>
        </w:rPr>
        <w:t xml:space="preserve">Schoenfeldo liekanų plokštumas, laikoma, </w:t>
      </w:r>
      <w:r w:rsidRPr="00846583">
        <w:t>kad proporcingų rizikų prielaida pažeista (t.</w:t>
      </w:r>
      <w:r w:rsidR="00F82AE2" w:rsidRPr="00846583">
        <w:t xml:space="preserve"> </w:t>
      </w:r>
      <w:r w:rsidRPr="00846583">
        <w:t>y. laikoma, kad efektas priklauso nuo laiko, kreivės nėra proporcingos ar paralelios laiko atžvilgiu);</w:t>
      </w:r>
    </w:p>
    <w:p w14:paraId="3DE43AB5" w14:textId="60A2B840" w:rsidR="007F6C04" w:rsidRPr="00846583" w:rsidRDefault="007F6C04" w:rsidP="006E1DF9">
      <w:pPr>
        <w:pStyle w:val="ListParagraph"/>
        <w:numPr>
          <w:ilvl w:val="0"/>
          <w:numId w:val="19"/>
        </w:numPr>
        <w:tabs>
          <w:tab w:val="left" w:pos="450"/>
        </w:tabs>
        <w:spacing w:line="276" w:lineRule="auto"/>
        <w:ind w:left="0" w:firstLine="0"/>
        <w:jc w:val="both"/>
      </w:pPr>
      <w:r w:rsidRPr="00846583">
        <w:t xml:space="preserve">Laiko iki įvykio (TP1), laiko iki mirties įvykio (TP2) bei laiko, po recidyvo (TP3)  duomenų ekstrapoliacijos parametrinių funkcijų parinkimui Pareiškėjas vadovaujasi AIC/BIC statistinių informacinių kriterijų įverčiais bei vizualiu kreivių vertinimu pagal atitiktį KM kreivėms, siekiant validuoti duomenis ilgalaikėje perspektyvoje Pareiškėjas vadovaujasi </w:t>
      </w:r>
      <w:r w:rsidR="00AC6DCF">
        <w:t>***</w:t>
      </w:r>
      <w:r w:rsidRPr="00846583">
        <w:t xml:space="preserve"> m. bendrojo išgyvenamumo Nacionalinio vėžio registro duomenimis. Tarnyba vertina, kad Pareiškėjo pateikti bendrojo išgyvenamumo Nacionalinio vėžio registro duomenys neatitinka vertinamos populiacijos: registro duomenys apima visą bendrąją populiaciją (įskaitant vyresnio amžiaus, turinčius gretutinių ligų ar prastesnės būklės pacientus), pacientai nėra diferencijuoti pagal nagrinėjamos populiacijos operabilumą ir ligos būklę (įtraukiami ir lokaliai pažengę ar metastazavę progresavusių ligų atvejai ir kt.). Tarnyba vertina, kad kitų šalių registrų ar publikuoti literatūros šaltiniai, kuriuose analizuoti operabilaus stemplės-skrandžio jungties bei skrandžio vėžio (resectable GC/GEJC) duomenys ir populiacija, kuriai skiriamas perioperabilus FLOT (arba kiti perioperaciniai režimai) KNA laikomi patikimesniais dėl labiau analizuojamą populiaciją atitinkančių duomenų. Tarnyba taip pat atkreipia dėmesį, kad:</w:t>
      </w:r>
    </w:p>
    <w:p w14:paraId="77AD13AF" w14:textId="4C74C157" w:rsidR="007F6C04" w:rsidRPr="00846583" w:rsidRDefault="007F6C04" w:rsidP="006E1DF9">
      <w:pPr>
        <w:pStyle w:val="ListParagraph"/>
        <w:numPr>
          <w:ilvl w:val="0"/>
          <w:numId w:val="19"/>
        </w:numPr>
        <w:tabs>
          <w:tab w:val="left" w:pos="450"/>
        </w:tabs>
        <w:spacing w:line="276" w:lineRule="auto"/>
        <w:ind w:left="0" w:firstLine="0"/>
        <w:jc w:val="both"/>
      </w:pPr>
      <w:r w:rsidRPr="00846583">
        <w:t xml:space="preserve">TP1 atveju -&gt; BI (Bendrasis išgyvenamumas / Overall Survival) matuoja laiką iki mirties nuo bet kurios priežasties. TP1 šiame Markovo modelyje žymi perėjimą iš būsenos EF (Event-Free) į Recurred disease (Ligos atkrytis). Tai yra laikas iki ligos progresavimo / atkryčio, o ne iki mirties. Pareiškėjui TP1 duomenų ekstrapoliacijas taikyti naudojant bendrosios populiacijos BI (OS) rodiklius yra metodologiškai neteisinga, nes pacientas EF būsenoje gali mirti neišsivysčius atkryčiui (tai rodo rodiklis TP2 – mirtis tiesiai iš EF); </w:t>
      </w:r>
      <w:r w:rsidRPr="00846583">
        <w:rPr>
          <w:u w:val="single"/>
        </w:rPr>
        <w:t xml:space="preserve">Atitinkamai, Tarnyba ekstrapoliuojant FLOT gydymo grupės duomenis vadovaujasi geriausiai AIC / BIC kriterijus atitinkančia kreive: </w:t>
      </w:r>
      <w:r w:rsidR="00D14DBA">
        <w:rPr>
          <w:bCs/>
          <w:i/>
          <w:iCs/>
          <w:u w:val="single"/>
        </w:rPr>
        <w:t>***</w:t>
      </w:r>
      <w:r w:rsidRPr="00846583">
        <w:rPr>
          <w:bCs/>
          <w:u w:val="single"/>
        </w:rPr>
        <w:t>.</w:t>
      </w:r>
      <w:r w:rsidRPr="00846583">
        <w:t xml:space="preserve"> </w:t>
      </w:r>
    </w:p>
    <w:p w14:paraId="45D909EC" w14:textId="5A1056DA" w:rsidR="007F6C04" w:rsidRPr="00846583" w:rsidRDefault="007F6C04" w:rsidP="006E1DF9">
      <w:pPr>
        <w:pStyle w:val="ListParagraph"/>
        <w:numPr>
          <w:ilvl w:val="0"/>
          <w:numId w:val="19"/>
        </w:numPr>
        <w:tabs>
          <w:tab w:val="left" w:pos="450"/>
        </w:tabs>
        <w:spacing w:line="276" w:lineRule="auto"/>
        <w:ind w:left="0" w:firstLine="0"/>
        <w:jc w:val="both"/>
      </w:pPr>
      <w:r w:rsidRPr="00846583">
        <w:t xml:space="preserve">TP2 atveju -&gt; </w:t>
      </w:r>
      <w:r w:rsidRPr="00846583">
        <w:rPr>
          <w:i/>
          <w:iCs/>
        </w:rPr>
        <w:t>Dėl bendros BI kreivės: n</w:t>
      </w:r>
      <w:r w:rsidRPr="00846583">
        <w:t xml:space="preserve">et jei modeliuojama bendra pacientų dalis, esanti </w:t>
      </w:r>
      <w:r w:rsidRPr="00846583">
        <w:rPr>
          <w:rStyle w:val="HTMLCode"/>
          <w:rFonts w:ascii="Times New Roman" w:hAnsi="Times New Roman" w:cs="Times New Roman"/>
          <w:sz w:val="24"/>
          <w:szCs w:val="24"/>
        </w:rPr>
        <w:t>EF + Recurred disease</w:t>
      </w:r>
      <w:r w:rsidRPr="00846583">
        <w:t xml:space="preserve"> būsenose (t. y. dar gyvų pacientų procentas), sutampa su registro 10 metų BI duomenimis, tai negarantuoja, kad pacientų pasiskirstymas tarp TP1, TP2 ir TP3 yra teisingas: Galimas klaidingas vidinis pasiskirstymas, kadangi modelis gali pasiekti „teisingą“ bendrą gyvų pacientų skaičių 10-aisiais metais per visai neteisingas proporcijas. Pavyzdžiui, modelis gali pervertinti atkryčių skaičių (TP1), bet tuo pat metu neįvertinti mirtingumo po atkryčio (TP3). Galutiniame rezultate gyvų pacientų skaičius sutaps su registru, tačiau pacientų būsenos bus iškraipytos. Tokiu atveju galimas šalutinis poveikis sąnaudoms ir kokybei (QALY): farmakoekonominiame modelyje pacientai būsenoje </w:t>
      </w:r>
      <w:r w:rsidRPr="00846583">
        <w:rPr>
          <w:i/>
        </w:rPr>
        <w:t>EF ir būsenoje Recurred disease</w:t>
      </w:r>
      <w:r w:rsidRPr="00846583">
        <w:t xml:space="preserve"> generuoja visiškai skirtingas gydymo sąnaudas bei turi skirtingus gyvenimo kokybės įverčius. Jei TP1 perėjimas iškreiptas, modelio pateikiama bendra finansinė nauda (QALY) ir sąnaudos bus nepatikimos, net jei </w:t>
      </w:r>
      <w:r w:rsidRPr="00846583">
        <w:lastRenderedPageBreak/>
        <w:t xml:space="preserve">bendras išgyvenusiųjų skaičius atitinka registrą. </w:t>
      </w:r>
      <w:r w:rsidRPr="00846583">
        <w:rPr>
          <w:u w:val="single"/>
        </w:rPr>
        <w:t xml:space="preserve">Tarnyba sutinka su Pareiškėjo taikomomis ir AIC / BIC kriterijus geriausiai atitinkančiomis kreivėmis: </w:t>
      </w:r>
      <w:r w:rsidR="00AD2003">
        <w:rPr>
          <w:i/>
          <w:u w:val="single"/>
        </w:rPr>
        <w:t>***</w:t>
      </w:r>
      <w:r w:rsidRPr="00846583">
        <w:rPr>
          <w:i/>
        </w:rPr>
        <w:t>.</w:t>
      </w:r>
    </w:p>
    <w:p w14:paraId="325E8B8F" w14:textId="1F726E5F" w:rsidR="007F6C04" w:rsidRPr="00846583" w:rsidRDefault="007F6C04" w:rsidP="006E1DF9">
      <w:pPr>
        <w:pStyle w:val="ListParagraph"/>
        <w:numPr>
          <w:ilvl w:val="0"/>
          <w:numId w:val="19"/>
        </w:numPr>
        <w:spacing w:line="276" w:lineRule="auto"/>
        <w:ind w:left="0" w:firstLine="0"/>
        <w:jc w:val="both"/>
      </w:pPr>
      <w:r w:rsidRPr="00846583">
        <w:t xml:space="preserve">TP3 atveju -&gt; vertinant progresavusios ligos BI – iš anksesnių paraiškų vertinimo yra žinoma, kad lokaliai išplitusių ir metastazavusių vėžių atvejais BI duomenys yra prastesni nei vertinamos indikacijos populiacijos ir 5 m. BI siekia 5 proc. Atitinkamai </w:t>
      </w:r>
      <w:r w:rsidRPr="00846583">
        <w:rPr>
          <w:u w:val="single"/>
        </w:rPr>
        <w:t xml:space="preserve">tikėtinas klinikines baigtis labiausiai atitinka ekstrapoliuotos </w:t>
      </w:r>
      <w:r w:rsidR="00AD2003">
        <w:rPr>
          <w:i/>
          <w:u w:val="single"/>
        </w:rPr>
        <w:t>***</w:t>
      </w:r>
      <w:r w:rsidRPr="00846583">
        <w:rPr>
          <w:u w:val="single"/>
        </w:rPr>
        <w:t xml:space="preserve"> kreivės</w:t>
      </w:r>
      <w:r w:rsidRPr="00846583">
        <w:t xml:space="preserve"> (lemiančios pesimistiškiausius rezultatus). Tarnyba atkreipia dėmesį, kad pagal literatūros šaltiniuose skelbiamus duomenis vertinamos populiacijos (operabilaus neoadjuvanto, 1L) tikėtini 10-ies metų BI duomenys yra 25–35 proc. (nei fiksuojami registre - 13,9 proc.).</w:t>
      </w:r>
    </w:p>
    <w:p w14:paraId="701CCB35" w14:textId="207584C9" w:rsidR="007F6C04" w:rsidRPr="00846583" w:rsidRDefault="007F6C04" w:rsidP="006E1DF9">
      <w:pPr>
        <w:pStyle w:val="ListParagraph"/>
        <w:spacing w:line="276" w:lineRule="auto"/>
        <w:ind w:left="0" w:firstLine="720"/>
        <w:jc w:val="both"/>
        <w:rPr>
          <w:color w:val="000000"/>
        </w:rPr>
      </w:pPr>
      <w:r w:rsidRPr="00846583">
        <w:rPr>
          <w:bCs/>
          <w:lang w:eastAsia="lt-LT"/>
        </w:rPr>
        <w:t xml:space="preserve">Apibendrinant KNA įtraukiamus kaštus ir išteklius, Tarnyba vertina, kad </w:t>
      </w:r>
      <w:r w:rsidRPr="00846583">
        <w:t>įtraukti tiesiogiai su sveikatos sistema susiję kaštai</w:t>
      </w:r>
      <w:r w:rsidRPr="00846583">
        <w:rPr>
          <w:bCs/>
          <w:lang w:eastAsia="lt-LT"/>
        </w:rPr>
        <w:t xml:space="preserve"> iš </w:t>
      </w:r>
      <w:r w:rsidRPr="00846583">
        <w:t>PSDF biudžeto perspektyvos, išskyrus sekančių eilių gydymo kaštus,</w:t>
      </w:r>
      <w:r w:rsidRPr="00846583">
        <w:rPr>
          <w:bCs/>
          <w:lang w:eastAsia="lt-LT"/>
        </w:rPr>
        <w:t xml:space="preserve"> </w:t>
      </w:r>
      <w:r w:rsidRPr="00846583">
        <w:t xml:space="preserve">yra tinkami. Tarnyba vertina, kad Pareiškėjo taikomas sekančių eilių gydymas (VP) ir jų pasiskirstymas pagal skirtą </w:t>
      </w:r>
      <w:r w:rsidRPr="00846583">
        <w:rPr>
          <w:color w:val="000000"/>
        </w:rPr>
        <w:t xml:space="preserve">MATTERHORN klinikiniame tyrime (ir Pareiškėjo koreguotas pagal skiriamą Lietuvoje), </w:t>
      </w:r>
      <w:r w:rsidRPr="00846583">
        <w:t xml:space="preserve">neatitinka realios Lietuvos klinikinės praktikos. Tarnyba kreipėsi į Lietuvos klinikinius ekspertus ir </w:t>
      </w:r>
      <w:r w:rsidR="00F82AE2" w:rsidRPr="00846583">
        <w:t>atsižvigdama</w:t>
      </w:r>
      <w:r w:rsidRPr="00846583">
        <w:t xml:space="preserve"> į pateiktą gydymo algoritmą, įprastinėje atvejo analizėje keičia cisplatinos +5FU pasiskirstymą– </w:t>
      </w:r>
      <w:r w:rsidR="00374608">
        <w:t>***</w:t>
      </w:r>
      <w:r w:rsidRPr="00846583">
        <w:t xml:space="preserve"> proc. (pagal stebėtą nivolumabo C15-C16, 2L vertinimo paraiškoje); ramucirumabas būtų skiriamas su paklitakseliu (paklitakselis neįtrauktas modelyje) – taikomas proc. – </w:t>
      </w:r>
      <w:r w:rsidR="00374608">
        <w:t>***</w:t>
      </w:r>
      <w:r w:rsidRPr="00846583">
        <w:t xml:space="preserve"> proc. (pagal Keytrudos paraiškos vertinimą C15-C16 2L); Lonsurf ir Folfiri gydymai modelyje neįtraukti. Nėra aišku dėl skiriamos imunoterapijos apimčių (</w:t>
      </w:r>
      <w:r w:rsidRPr="00846583">
        <w:rPr>
          <w:color w:val="000000"/>
        </w:rPr>
        <w:t>HER2 teigiamų pacientų pogrupis MATTERHORN klinikiniame tyrime nebuvo analizuotas, durvalumabas nebūtų skiriamas). Tarnyba taip pat scenarijų analizėje vertina atvejį, kai sekančių eilių kaštai KNA neįtraukiami. Laikoma, kad sekančių eilių gydymo kaštai KNA nepagrįsti ir netinkami, tačiau Tarnyba į Pareiškėją nesikreipė, kadangi nei vienu alternatyvių scenarijų analizuojamu atveju apskaičiuotas galutinės ekonominės analizės rezultatas (ICER) neviršija vidutinei ligos naštai taikomos referencinės kaštų naudingumo vertės.</w:t>
      </w:r>
    </w:p>
    <w:p w14:paraId="1BAC9D6D" w14:textId="0CA5DAFD" w:rsidR="007F6C04" w:rsidRPr="00846583" w:rsidRDefault="007F6C04" w:rsidP="006E1DF9">
      <w:pPr>
        <w:pStyle w:val="ListParagraph"/>
        <w:spacing w:line="276" w:lineRule="auto"/>
        <w:ind w:left="0" w:firstLine="450"/>
        <w:jc w:val="both"/>
        <w:rPr>
          <w:iCs/>
          <w:lang w:eastAsia="lt-LT"/>
        </w:rPr>
      </w:pPr>
      <w:r w:rsidRPr="00846583">
        <w:rPr>
          <w:iCs/>
          <w:lang w:eastAsia="lt-LT"/>
        </w:rPr>
        <w:t>Tarnyba vertina, kad Pareiškėjo KNA taikomi gyvenimo kokybės įverčiai yra tinkami, kadangi nustatyti pagrindinio durvalumabo klinikinio tyrimo (MATTERHORN) metu naudojant EQ-5D-5L klausimyną bei atsižvelgiama į Tarnybos anksčiau atliktų vertinimų (pvz.: Opdivo, C15 ir C16) metu taikytus gyvenimo kokybės įverčius, iš kurių matyti, kad gyvenimo kokybės įverčiai yra panašūs (</w:t>
      </w:r>
      <w:r w:rsidR="00115C0C">
        <w:rPr>
          <w:iCs/>
          <w:lang w:eastAsia="lt-LT"/>
        </w:rPr>
        <w:t>***</w:t>
      </w:r>
      <w:r w:rsidRPr="00846583">
        <w:rPr>
          <w:iCs/>
          <w:lang w:eastAsia="lt-LT"/>
        </w:rPr>
        <w:t xml:space="preserve"> iki ligos progresavimo; ir </w:t>
      </w:r>
      <w:r w:rsidR="00115C0C">
        <w:rPr>
          <w:iCs/>
          <w:lang w:eastAsia="lt-LT"/>
        </w:rPr>
        <w:t>***</w:t>
      </w:r>
      <w:r w:rsidRPr="00846583">
        <w:rPr>
          <w:iCs/>
          <w:lang w:eastAsia="lt-LT"/>
        </w:rPr>
        <w:t xml:space="preserve"> – ligai progresavus). Tarnyba sutinka su Pareiškėjo taikomais gyvenimo kokybės praradimais dėl amžiaus ir lyties bei nepageidaujamų reiškinių.</w:t>
      </w:r>
    </w:p>
    <w:p w14:paraId="095571C2" w14:textId="531981FD" w:rsidR="007F6C04" w:rsidRPr="00846583" w:rsidRDefault="007F6C04" w:rsidP="006E1DF9">
      <w:pPr>
        <w:pStyle w:val="ListParagraph"/>
        <w:spacing w:line="276" w:lineRule="auto"/>
        <w:ind w:left="0" w:firstLine="450"/>
        <w:jc w:val="both"/>
        <w:rPr>
          <w:iCs/>
          <w:lang w:eastAsia="lt-LT"/>
        </w:rPr>
      </w:pPr>
    </w:p>
    <w:p w14:paraId="3261BB64" w14:textId="77777777" w:rsidR="007F6C04" w:rsidRPr="00846583" w:rsidRDefault="007F6C04" w:rsidP="006E1DF9">
      <w:pPr>
        <w:tabs>
          <w:tab w:val="left" w:pos="426"/>
        </w:tabs>
        <w:spacing w:line="276" w:lineRule="auto"/>
        <w:rPr>
          <w:b/>
          <w:lang w:eastAsia="lt-LT"/>
        </w:rPr>
      </w:pPr>
      <w:r w:rsidRPr="00846583">
        <w:rPr>
          <w:b/>
          <w:lang w:eastAsia="lt-LT"/>
        </w:rPr>
        <w:t>3.1 Ekonominės analizės rezultatas</w:t>
      </w:r>
    </w:p>
    <w:p w14:paraId="6A5ECCCF" w14:textId="77777777" w:rsidR="007F6C04" w:rsidRPr="00846583" w:rsidRDefault="007F6C04" w:rsidP="006E1DF9">
      <w:pPr>
        <w:tabs>
          <w:tab w:val="left" w:pos="426"/>
        </w:tabs>
        <w:spacing w:line="276" w:lineRule="auto"/>
        <w:rPr>
          <w:b/>
          <w:lang w:eastAsia="lt-LT"/>
        </w:rPr>
      </w:pPr>
    </w:p>
    <w:tbl>
      <w:tblPr>
        <w:tblStyle w:val="Lentelstinklelis1"/>
        <w:tblW w:w="9439"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200"/>
        <w:gridCol w:w="3239"/>
      </w:tblGrid>
      <w:tr w:rsidR="007F6C04" w:rsidRPr="00846583" w14:paraId="33F14B7C" w14:textId="77777777" w:rsidTr="00230E07">
        <w:trPr>
          <w:trHeight w:val="344"/>
          <w:jc w:val="center"/>
        </w:trPr>
        <w:tc>
          <w:tcPr>
            <w:tcW w:w="9439" w:type="dxa"/>
            <w:gridSpan w:val="2"/>
            <w:tcBorders>
              <w:top w:val="single" w:sz="12" w:space="0" w:color="auto"/>
              <w:left w:val="single" w:sz="4" w:space="0" w:color="auto"/>
              <w:right w:val="single" w:sz="4" w:space="0" w:color="auto"/>
            </w:tcBorders>
            <w:vAlign w:val="center"/>
          </w:tcPr>
          <w:p w14:paraId="51E4071A" w14:textId="77777777" w:rsidR="007F6C04" w:rsidRPr="00846583" w:rsidRDefault="007F6C04" w:rsidP="006E1DF9">
            <w:pPr>
              <w:tabs>
                <w:tab w:val="left" w:pos="567"/>
              </w:tabs>
              <w:spacing w:line="276" w:lineRule="auto"/>
              <w:jc w:val="center"/>
              <w:rPr>
                <w:b/>
                <w:bCs/>
                <w:lang w:eastAsia="lt-LT"/>
              </w:rPr>
            </w:pPr>
            <w:r w:rsidRPr="00846583">
              <w:rPr>
                <w:b/>
                <w:bCs/>
                <w:lang w:eastAsia="lt-LT"/>
              </w:rPr>
              <w:t>Rezultatai</w:t>
            </w:r>
          </w:p>
        </w:tc>
      </w:tr>
      <w:tr w:rsidR="007F6C04" w:rsidRPr="00846583" w14:paraId="36DCBA45" w14:textId="77777777" w:rsidTr="00230E07">
        <w:trPr>
          <w:trHeight w:val="267"/>
          <w:jc w:val="center"/>
        </w:trPr>
        <w:tc>
          <w:tcPr>
            <w:tcW w:w="6200" w:type="dxa"/>
            <w:tcBorders>
              <w:left w:val="single" w:sz="4" w:space="0" w:color="auto"/>
            </w:tcBorders>
          </w:tcPr>
          <w:p w14:paraId="4AE9A21F" w14:textId="77777777" w:rsidR="007F6C04" w:rsidRPr="00846583" w:rsidRDefault="007F6C04" w:rsidP="006E1DF9">
            <w:pPr>
              <w:tabs>
                <w:tab w:val="left" w:pos="567"/>
              </w:tabs>
              <w:spacing w:line="276" w:lineRule="auto"/>
              <w:jc w:val="right"/>
              <w:rPr>
                <w:iCs/>
                <w:lang w:eastAsia="lt-LT"/>
              </w:rPr>
            </w:pPr>
            <w:r w:rsidRPr="00846583">
              <w:rPr>
                <w:iCs/>
                <w:lang w:eastAsia="lt-LT"/>
              </w:rPr>
              <w:t>Kaštų skirtumas</w:t>
            </w:r>
          </w:p>
        </w:tc>
        <w:tc>
          <w:tcPr>
            <w:tcW w:w="3239" w:type="dxa"/>
            <w:tcBorders>
              <w:right w:val="single" w:sz="4" w:space="0" w:color="auto"/>
            </w:tcBorders>
          </w:tcPr>
          <w:p w14:paraId="7FFD6370" w14:textId="214E6044" w:rsidR="007F6C04" w:rsidRPr="00846583" w:rsidRDefault="002C54C9" w:rsidP="006E1DF9">
            <w:pPr>
              <w:tabs>
                <w:tab w:val="left" w:pos="567"/>
              </w:tabs>
              <w:spacing w:line="276" w:lineRule="auto"/>
              <w:jc w:val="both"/>
              <w:rPr>
                <w:i/>
                <w:iCs/>
                <w:lang w:eastAsia="lt-LT"/>
              </w:rPr>
            </w:pPr>
            <w:r w:rsidRPr="00846583">
              <w:rPr>
                <w:iCs/>
                <w:lang w:eastAsia="lt-LT"/>
              </w:rPr>
              <w:t>***</w:t>
            </w:r>
          </w:p>
        </w:tc>
      </w:tr>
      <w:tr w:rsidR="007F6C04" w:rsidRPr="00846583" w14:paraId="3FF79BD9" w14:textId="77777777" w:rsidTr="00230E07">
        <w:trPr>
          <w:trHeight w:val="267"/>
          <w:jc w:val="center"/>
        </w:trPr>
        <w:tc>
          <w:tcPr>
            <w:tcW w:w="6200" w:type="dxa"/>
            <w:tcBorders>
              <w:left w:val="single" w:sz="4" w:space="0" w:color="auto"/>
            </w:tcBorders>
          </w:tcPr>
          <w:p w14:paraId="4CE2C933" w14:textId="77777777" w:rsidR="007F6C04" w:rsidRPr="00846583" w:rsidRDefault="007F6C04" w:rsidP="006E1DF9">
            <w:pPr>
              <w:tabs>
                <w:tab w:val="left" w:pos="567"/>
              </w:tabs>
              <w:spacing w:line="276" w:lineRule="auto"/>
              <w:jc w:val="right"/>
              <w:rPr>
                <w:iCs/>
                <w:lang w:eastAsia="lt-LT"/>
              </w:rPr>
            </w:pPr>
            <w:r w:rsidRPr="00846583">
              <w:rPr>
                <w:iCs/>
                <w:lang w:eastAsia="lt-LT"/>
              </w:rPr>
              <w:t>Papildomi gyvenimo metai (LY)</w:t>
            </w:r>
          </w:p>
        </w:tc>
        <w:tc>
          <w:tcPr>
            <w:tcW w:w="3239" w:type="dxa"/>
            <w:tcBorders>
              <w:right w:val="single" w:sz="4" w:space="0" w:color="auto"/>
            </w:tcBorders>
          </w:tcPr>
          <w:p w14:paraId="334D8517" w14:textId="40BF2056" w:rsidR="007F6C04" w:rsidRPr="00846583" w:rsidRDefault="00BE1836" w:rsidP="006E1DF9">
            <w:pPr>
              <w:tabs>
                <w:tab w:val="left" w:pos="567"/>
              </w:tabs>
              <w:spacing w:line="276" w:lineRule="auto"/>
              <w:jc w:val="both"/>
              <w:rPr>
                <w:i/>
                <w:iCs/>
                <w:lang w:eastAsia="lt-LT"/>
              </w:rPr>
            </w:pPr>
            <w:r>
              <w:rPr>
                <w:lang w:eastAsia="lt-LT"/>
              </w:rPr>
              <w:t>***</w:t>
            </w:r>
          </w:p>
        </w:tc>
      </w:tr>
      <w:tr w:rsidR="007F6C04" w:rsidRPr="00846583" w14:paraId="35AAB9EE" w14:textId="77777777" w:rsidTr="00230E07">
        <w:trPr>
          <w:trHeight w:val="267"/>
          <w:jc w:val="center"/>
        </w:trPr>
        <w:tc>
          <w:tcPr>
            <w:tcW w:w="6200" w:type="dxa"/>
            <w:tcBorders>
              <w:left w:val="single" w:sz="4" w:space="0" w:color="auto"/>
            </w:tcBorders>
          </w:tcPr>
          <w:p w14:paraId="19229B2B" w14:textId="77777777" w:rsidR="007F6C04" w:rsidRPr="00846583" w:rsidRDefault="007F6C04" w:rsidP="006E1DF9">
            <w:pPr>
              <w:tabs>
                <w:tab w:val="left" w:pos="567"/>
              </w:tabs>
              <w:spacing w:line="276" w:lineRule="auto"/>
              <w:jc w:val="right"/>
              <w:rPr>
                <w:iCs/>
                <w:lang w:eastAsia="lt-LT"/>
              </w:rPr>
            </w:pPr>
            <w:r w:rsidRPr="00846583">
              <w:rPr>
                <w:iCs/>
                <w:lang w:eastAsia="lt-LT"/>
              </w:rPr>
              <w:t>Papildomi kokybiški gyvenimo metai (QALY)</w:t>
            </w:r>
          </w:p>
        </w:tc>
        <w:tc>
          <w:tcPr>
            <w:tcW w:w="3239" w:type="dxa"/>
            <w:tcBorders>
              <w:right w:val="single" w:sz="4" w:space="0" w:color="auto"/>
            </w:tcBorders>
          </w:tcPr>
          <w:p w14:paraId="5FA77119" w14:textId="411A07EC" w:rsidR="007F6C04" w:rsidRPr="00846583" w:rsidRDefault="00BE1836" w:rsidP="006E1DF9">
            <w:pPr>
              <w:tabs>
                <w:tab w:val="left" w:pos="567"/>
              </w:tabs>
              <w:spacing w:line="276" w:lineRule="auto"/>
              <w:jc w:val="both"/>
              <w:rPr>
                <w:i/>
                <w:iCs/>
                <w:lang w:eastAsia="lt-LT"/>
              </w:rPr>
            </w:pPr>
            <w:r>
              <w:rPr>
                <w:lang w:eastAsia="lt-LT"/>
              </w:rPr>
              <w:t>***</w:t>
            </w:r>
          </w:p>
        </w:tc>
      </w:tr>
      <w:tr w:rsidR="007F6C04" w:rsidRPr="00846583" w14:paraId="763E7F58" w14:textId="77777777" w:rsidTr="00230E07">
        <w:trPr>
          <w:trHeight w:val="267"/>
          <w:jc w:val="center"/>
        </w:trPr>
        <w:tc>
          <w:tcPr>
            <w:tcW w:w="6200" w:type="dxa"/>
            <w:tcBorders>
              <w:left w:val="single" w:sz="4" w:space="0" w:color="auto"/>
            </w:tcBorders>
          </w:tcPr>
          <w:p w14:paraId="71AB9DE0" w14:textId="77777777" w:rsidR="007F6C04" w:rsidRPr="00846583" w:rsidRDefault="007F6C04" w:rsidP="006E1DF9">
            <w:pPr>
              <w:tabs>
                <w:tab w:val="left" w:pos="567"/>
              </w:tabs>
              <w:spacing w:line="276" w:lineRule="auto"/>
              <w:jc w:val="right"/>
              <w:rPr>
                <w:iCs/>
                <w:lang w:eastAsia="lt-LT"/>
              </w:rPr>
            </w:pPr>
            <w:r w:rsidRPr="00846583">
              <w:rPr>
                <w:iCs/>
                <w:lang w:eastAsia="lt-LT"/>
              </w:rPr>
              <w:t>ICER už LY</w:t>
            </w:r>
          </w:p>
        </w:tc>
        <w:tc>
          <w:tcPr>
            <w:tcW w:w="3239" w:type="dxa"/>
            <w:tcBorders>
              <w:right w:val="single" w:sz="4" w:space="0" w:color="auto"/>
            </w:tcBorders>
          </w:tcPr>
          <w:p w14:paraId="5FD47FFA" w14:textId="69650F72" w:rsidR="007F6C04" w:rsidRPr="00846583" w:rsidRDefault="002C54C9" w:rsidP="006E1DF9">
            <w:pPr>
              <w:tabs>
                <w:tab w:val="left" w:pos="567"/>
              </w:tabs>
              <w:spacing w:line="276" w:lineRule="auto"/>
              <w:jc w:val="both"/>
              <w:rPr>
                <w:i/>
                <w:iCs/>
                <w:lang w:eastAsia="lt-LT"/>
              </w:rPr>
            </w:pPr>
            <w:r w:rsidRPr="00846583">
              <w:rPr>
                <w:color w:val="000000"/>
              </w:rPr>
              <w:t>***</w:t>
            </w:r>
          </w:p>
        </w:tc>
      </w:tr>
      <w:tr w:rsidR="007F6C04" w:rsidRPr="00846583" w14:paraId="32932546" w14:textId="77777777" w:rsidTr="00230E07">
        <w:trPr>
          <w:trHeight w:val="267"/>
          <w:jc w:val="center"/>
        </w:trPr>
        <w:tc>
          <w:tcPr>
            <w:tcW w:w="6200" w:type="dxa"/>
            <w:tcBorders>
              <w:left w:val="single" w:sz="4" w:space="0" w:color="auto"/>
            </w:tcBorders>
          </w:tcPr>
          <w:p w14:paraId="56A857E4" w14:textId="77777777" w:rsidR="007F6C04" w:rsidRPr="00846583" w:rsidRDefault="007F6C04" w:rsidP="006E1DF9">
            <w:pPr>
              <w:tabs>
                <w:tab w:val="left" w:pos="567"/>
              </w:tabs>
              <w:spacing w:line="276" w:lineRule="auto"/>
              <w:jc w:val="right"/>
              <w:rPr>
                <w:iCs/>
                <w:lang w:eastAsia="lt-LT"/>
              </w:rPr>
            </w:pPr>
            <w:r w:rsidRPr="00846583">
              <w:rPr>
                <w:iCs/>
                <w:lang w:eastAsia="lt-LT"/>
              </w:rPr>
              <w:t>ICER už QALY</w:t>
            </w:r>
          </w:p>
        </w:tc>
        <w:tc>
          <w:tcPr>
            <w:tcW w:w="3239" w:type="dxa"/>
            <w:tcBorders>
              <w:right w:val="single" w:sz="4" w:space="0" w:color="auto"/>
            </w:tcBorders>
          </w:tcPr>
          <w:p w14:paraId="1340A8A9" w14:textId="4A90A5C0" w:rsidR="007F6C04" w:rsidRPr="00846583" w:rsidRDefault="002C54C9" w:rsidP="006E1DF9">
            <w:pPr>
              <w:tabs>
                <w:tab w:val="left" w:pos="567"/>
              </w:tabs>
              <w:spacing w:line="276" w:lineRule="auto"/>
              <w:jc w:val="both"/>
              <w:rPr>
                <w:i/>
                <w:iCs/>
                <w:lang w:eastAsia="lt-LT"/>
              </w:rPr>
            </w:pPr>
            <w:r w:rsidRPr="00846583">
              <w:rPr>
                <w:i/>
                <w:iCs/>
                <w:lang w:eastAsia="lt-LT"/>
              </w:rPr>
              <w:t>***</w:t>
            </w:r>
            <w:r w:rsidR="007F6C04" w:rsidRPr="00846583">
              <w:rPr>
                <w:i/>
                <w:iCs/>
                <w:lang w:eastAsia="lt-LT"/>
              </w:rPr>
              <w:t xml:space="preserve"> Eur./QALY</w:t>
            </w:r>
          </w:p>
        </w:tc>
      </w:tr>
      <w:tr w:rsidR="007F6C04" w:rsidRPr="00846583" w14:paraId="46996A95" w14:textId="77777777" w:rsidTr="00230E07">
        <w:trPr>
          <w:trHeight w:val="267"/>
          <w:jc w:val="center"/>
        </w:trPr>
        <w:tc>
          <w:tcPr>
            <w:tcW w:w="6200" w:type="dxa"/>
            <w:tcBorders>
              <w:left w:val="single" w:sz="4" w:space="0" w:color="auto"/>
              <w:bottom w:val="single" w:sz="4" w:space="0" w:color="auto"/>
              <w:right w:val="single" w:sz="4" w:space="0" w:color="auto"/>
            </w:tcBorders>
          </w:tcPr>
          <w:p w14:paraId="5209CC04" w14:textId="77777777" w:rsidR="007F6C04" w:rsidRPr="00846583" w:rsidRDefault="007F6C04" w:rsidP="006E1DF9">
            <w:pPr>
              <w:tabs>
                <w:tab w:val="left" w:pos="567"/>
              </w:tabs>
              <w:spacing w:line="276" w:lineRule="auto"/>
              <w:jc w:val="right"/>
              <w:rPr>
                <w:iCs/>
                <w:lang w:eastAsia="lt-LT"/>
              </w:rPr>
            </w:pPr>
            <w:r w:rsidRPr="00846583">
              <w:rPr>
                <w:iCs/>
                <w:lang w:eastAsia="lt-LT"/>
              </w:rPr>
              <w:t>Referencinė kaštų naudingumo vertė</w:t>
            </w:r>
          </w:p>
        </w:tc>
        <w:tc>
          <w:tcPr>
            <w:tcW w:w="3239" w:type="dxa"/>
            <w:tcBorders>
              <w:left w:val="single" w:sz="4" w:space="0" w:color="auto"/>
              <w:bottom w:val="single" w:sz="4" w:space="0" w:color="auto"/>
              <w:right w:val="single" w:sz="4" w:space="0" w:color="auto"/>
            </w:tcBorders>
          </w:tcPr>
          <w:p w14:paraId="5CE48A45" w14:textId="356AAFE2" w:rsidR="007F6C04" w:rsidRPr="00846583" w:rsidRDefault="00BE1836" w:rsidP="006E1DF9">
            <w:pPr>
              <w:tabs>
                <w:tab w:val="left" w:pos="567"/>
              </w:tabs>
              <w:spacing w:line="276" w:lineRule="auto"/>
              <w:jc w:val="both"/>
              <w:rPr>
                <w:i/>
                <w:iCs/>
                <w:lang w:eastAsia="lt-LT"/>
              </w:rPr>
            </w:pPr>
            <w:r>
              <w:rPr>
                <w:bCs/>
                <w:i/>
                <w:color w:val="000000"/>
                <w:lang w:eastAsia="lt-LT"/>
              </w:rPr>
              <w:t>***</w:t>
            </w:r>
            <w:r w:rsidR="007F6C04" w:rsidRPr="00846583">
              <w:rPr>
                <w:bCs/>
                <w:i/>
                <w:color w:val="000000"/>
                <w:lang w:eastAsia="lt-LT"/>
              </w:rPr>
              <w:t xml:space="preserve"> Eur.</w:t>
            </w:r>
          </w:p>
        </w:tc>
      </w:tr>
    </w:tbl>
    <w:p w14:paraId="069AB717" w14:textId="77777777" w:rsidR="007F6C04" w:rsidRPr="00846583" w:rsidRDefault="007F6C04" w:rsidP="006E1DF9">
      <w:pPr>
        <w:tabs>
          <w:tab w:val="left" w:pos="567"/>
        </w:tabs>
        <w:spacing w:line="276" w:lineRule="auto"/>
        <w:jc w:val="both"/>
        <w:rPr>
          <w:iCs/>
          <w:lang w:eastAsia="lt-LT"/>
        </w:rPr>
      </w:pPr>
      <w:r w:rsidRPr="00846583">
        <w:rPr>
          <w:iCs/>
          <w:lang w:eastAsia="lt-LT"/>
        </w:rPr>
        <w:t>ICER – (</w:t>
      </w:r>
      <w:r w:rsidRPr="00846583">
        <w:rPr>
          <w:i/>
          <w:lang w:eastAsia="lt-LT"/>
        </w:rPr>
        <w:t>angl. incremental cost-effectiveness ratio</w:t>
      </w:r>
      <w:r w:rsidRPr="00846583">
        <w:rPr>
          <w:iCs/>
          <w:lang w:eastAsia="lt-LT"/>
        </w:rPr>
        <w:t>) inkrementinis kaštų naudingumo koeficientas; LY – (</w:t>
      </w:r>
      <w:r w:rsidRPr="00846583">
        <w:rPr>
          <w:i/>
          <w:lang w:eastAsia="lt-LT"/>
        </w:rPr>
        <w:t>angl. life years</w:t>
      </w:r>
      <w:r w:rsidRPr="00846583">
        <w:rPr>
          <w:iCs/>
          <w:lang w:eastAsia="lt-LT"/>
        </w:rPr>
        <w:t>) gyvenimo metai; QALY- (</w:t>
      </w:r>
      <w:r w:rsidRPr="00846583">
        <w:rPr>
          <w:i/>
          <w:lang w:eastAsia="lt-LT"/>
        </w:rPr>
        <w:t xml:space="preserve">angl. quality adjusted life years) </w:t>
      </w:r>
      <w:r w:rsidRPr="00846583">
        <w:rPr>
          <w:iCs/>
          <w:lang w:eastAsia="lt-LT"/>
        </w:rPr>
        <w:t>kokybiški gyvenimo metai.</w:t>
      </w:r>
    </w:p>
    <w:p w14:paraId="786EA27A" w14:textId="77777777" w:rsidR="007F6C04" w:rsidRPr="00846583" w:rsidRDefault="007F6C04" w:rsidP="006E1DF9">
      <w:pPr>
        <w:tabs>
          <w:tab w:val="left" w:pos="426"/>
        </w:tabs>
        <w:spacing w:line="276" w:lineRule="auto"/>
        <w:rPr>
          <w:b/>
          <w:bCs/>
          <w:caps/>
        </w:rPr>
      </w:pPr>
    </w:p>
    <w:p w14:paraId="48202B19" w14:textId="2F2DE058" w:rsidR="007F6C04" w:rsidRPr="00846583" w:rsidRDefault="007F6C04" w:rsidP="006E1DF9">
      <w:pPr>
        <w:pStyle w:val="ListParagraph"/>
        <w:spacing w:line="276" w:lineRule="auto"/>
        <w:ind w:left="0" w:firstLine="450"/>
        <w:jc w:val="both"/>
      </w:pPr>
      <w:r w:rsidRPr="00846583">
        <w:rPr>
          <w:rFonts w:eastAsia="Arial"/>
        </w:rPr>
        <w:lastRenderedPageBreak/>
        <w:t xml:space="preserve">Iš ekonominės analizės rezultatų matyti, kad durvalumabą skiriant </w:t>
      </w:r>
      <w:r w:rsidRPr="00846583">
        <w:t>derinyje su FLOT lyginant</w:t>
      </w:r>
      <w:r w:rsidRPr="00846583">
        <w:rPr>
          <w:rFonts w:eastAsia="Arial"/>
        </w:rPr>
        <w:t xml:space="preserve"> su įprastu gydymu (</w:t>
      </w:r>
      <w:r w:rsidRPr="00846583">
        <w:rPr>
          <w:bCs/>
        </w:rPr>
        <w:t>FLOT chemoterapija)</w:t>
      </w:r>
      <w:r w:rsidRPr="00846583">
        <w:rPr>
          <w:rFonts w:eastAsia="Arial"/>
        </w:rPr>
        <w:t xml:space="preserve"> sveikatai sukuriama nauda (inkrementiniai QALYS) – </w:t>
      </w:r>
      <w:r w:rsidR="00BE1836">
        <w:rPr>
          <w:rFonts w:eastAsia="Arial"/>
        </w:rPr>
        <w:t>***</w:t>
      </w:r>
      <w:r w:rsidRPr="00846583">
        <w:rPr>
          <w:rFonts w:eastAsia="Arial"/>
        </w:rPr>
        <w:t xml:space="preserve">, </w:t>
      </w:r>
      <w:r w:rsidRPr="00846583">
        <w:t xml:space="preserve">o durvalumabas+FLOT kaštai yra </w:t>
      </w:r>
      <w:r w:rsidR="002C54C9" w:rsidRPr="00846583">
        <w:t>***</w:t>
      </w:r>
      <w:r w:rsidRPr="00846583">
        <w:t xml:space="preserve"> </w:t>
      </w:r>
      <w:r w:rsidRPr="00846583">
        <w:rPr>
          <w:lang w:eastAsia="lt-LT"/>
        </w:rPr>
        <w:t xml:space="preserve">Eur. </w:t>
      </w:r>
      <w:r w:rsidRPr="00846583">
        <w:t>didesni nei standartinio šiuo metu Lietuvoje taikomo gydymo.</w:t>
      </w:r>
      <w:r w:rsidRPr="00846583">
        <w:rPr>
          <w:lang w:eastAsia="lt-LT"/>
        </w:rPr>
        <w:t xml:space="preserve"> Apskaičiuotas ICER – </w:t>
      </w:r>
      <w:r w:rsidR="002C54C9" w:rsidRPr="00846583">
        <w:t>***</w:t>
      </w:r>
      <w:r w:rsidRPr="00846583">
        <w:rPr>
          <w:color w:val="000000"/>
          <w:lang w:eastAsia="lt-LT"/>
        </w:rPr>
        <w:t xml:space="preserve"> Eur./QALY (lentelė 2.1.1) </w:t>
      </w:r>
      <w:r w:rsidRPr="00846583">
        <w:rPr>
          <w:lang w:eastAsia="lt-LT"/>
        </w:rPr>
        <w:t>atitinka vidutinei ligos naštai taikomą referencinę kaštų naudingumo vertę (&lt;</w:t>
      </w:r>
      <w:r w:rsidR="00BE1836">
        <w:rPr>
          <w:i/>
          <w:iCs/>
          <w:lang w:eastAsia="lt-LT"/>
        </w:rPr>
        <w:t>*****</w:t>
      </w:r>
      <w:r w:rsidRPr="00846583">
        <w:rPr>
          <w:i/>
          <w:iCs/>
          <w:lang w:eastAsia="lt-LT"/>
        </w:rPr>
        <w:t xml:space="preserve"> Eur.</w:t>
      </w:r>
      <w:r w:rsidRPr="00846583">
        <w:rPr>
          <w:color w:val="000000"/>
          <w:lang w:eastAsia="lt-LT"/>
        </w:rPr>
        <w:t>)</w:t>
      </w:r>
      <w:r w:rsidRPr="00846583">
        <w:rPr>
          <w:lang w:eastAsia="lt-LT"/>
        </w:rPr>
        <w:t xml:space="preserve">. Jautrumo analizės rezultatai patvirtina gautus rezultatus, </w:t>
      </w:r>
      <w:r w:rsidRPr="00846583">
        <w:t xml:space="preserve">ICER kinta nuosekliai ir nė vienu atveju neviršija vidutinei ligos naštai taikomos referencinės vertės </w:t>
      </w:r>
      <w:r w:rsidRPr="00846583">
        <w:rPr>
          <w:lang w:eastAsia="lt-LT"/>
        </w:rPr>
        <w:t>(&lt;</w:t>
      </w:r>
      <w:r w:rsidR="00BE1836">
        <w:rPr>
          <w:i/>
          <w:iCs/>
          <w:lang w:eastAsia="lt-LT"/>
        </w:rPr>
        <w:t>*****</w:t>
      </w:r>
      <w:r w:rsidRPr="00846583">
        <w:rPr>
          <w:i/>
          <w:iCs/>
          <w:lang w:eastAsia="lt-LT"/>
        </w:rPr>
        <w:t xml:space="preserve"> Eur.</w:t>
      </w:r>
      <w:r w:rsidRPr="00846583">
        <w:rPr>
          <w:color w:val="000000"/>
          <w:lang w:eastAsia="lt-LT"/>
        </w:rPr>
        <w:t>)</w:t>
      </w:r>
      <w:r w:rsidRPr="00846583">
        <w:rPr>
          <w:lang w:eastAsia="lt-LT"/>
        </w:rPr>
        <w:t>, todėl modelis yra laikomas tvirtu ir patikimu nepriklausomai nuo to, kad ilguoju laikotarpiu ekstrapoliuojant kreives trūksta duomenis pagrindžiančių įrodymų.</w:t>
      </w:r>
    </w:p>
    <w:p w14:paraId="60CA7835" w14:textId="35B8ADCA" w:rsidR="00183F54" w:rsidRPr="00846583" w:rsidRDefault="00183F54" w:rsidP="00183F54">
      <w:pPr>
        <w:tabs>
          <w:tab w:val="left" w:pos="567"/>
        </w:tabs>
        <w:rPr>
          <w:b/>
          <w:bCs/>
          <w:caps/>
        </w:rPr>
      </w:pPr>
    </w:p>
    <w:p w14:paraId="4FC424F9" w14:textId="4E767245" w:rsidR="00C62B36" w:rsidRPr="00846583" w:rsidRDefault="00C62B36" w:rsidP="00CC09D4">
      <w:pPr>
        <w:pStyle w:val="ListParagraph"/>
        <w:numPr>
          <w:ilvl w:val="0"/>
          <w:numId w:val="12"/>
        </w:numPr>
        <w:tabs>
          <w:tab w:val="left" w:pos="567"/>
        </w:tabs>
        <w:ind w:hanging="720"/>
        <w:rPr>
          <w:b/>
          <w:bCs/>
          <w:caps/>
        </w:rPr>
      </w:pPr>
      <w:r w:rsidRPr="00846583">
        <w:rPr>
          <w:b/>
          <w:bCs/>
          <w:caps/>
        </w:rPr>
        <w:t xml:space="preserve">Pacientų organizacijų pateikti duomenys </w:t>
      </w:r>
    </w:p>
    <w:p w14:paraId="54351841" w14:textId="77777777" w:rsidR="00C9728E" w:rsidRPr="00846583" w:rsidRDefault="00C9728E" w:rsidP="00C9728E">
      <w:pPr>
        <w:pStyle w:val="ListParagraph"/>
        <w:tabs>
          <w:tab w:val="left" w:pos="567"/>
        </w:tabs>
        <w:rPr>
          <w:b/>
          <w:bCs/>
          <w:caps/>
        </w:rPr>
      </w:pPr>
    </w:p>
    <w:p w14:paraId="62992180" w14:textId="5CEA8F3B" w:rsidR="00937907" w:rsidRPr="00846583" w:rsidRDefault="00937907" w:rsidP="00937907">
      <w:pPr>
        <w:spacing w:after="120"/>
        <w:jc w:val="both"/>
      </w:pPr>
      <w:r w:rsidRPr="00846583">
        <w:t xml:space="preserve">Pacientų organizacijos pozicija </w:t>
      </w:r>
      <w:r w:rsidR="00880A44" w:rsidRPr="00846583">
        <w:t>ne</w:t>
      </w:r>
      <w:r w:rsidRPr="00846583">
        <w:t>pateikta.</w:t>
      </w:r>
    </w:p>
    <w:p w14:paraId="03E73D82" w14:textId="77777777" w:rsidR="00D417D2" w:rsidRPr="00846583" w:rsidRDefault="00D417D2" w:rsidP="00937907">
      <w:pPr>
        <w:spacing w:after="120"/>
        <w:jc w:val="both"/>
      </w:pPr>
    </w:p>
    <w:p w14:paraId="3D3277FA" w14:textId="09414FFF" w:rsidR="00C62B36" w:rsidRPr="00846583" w:rsidRDefault="00D67BAF" w:rsidP="00CC09D4">
      <w:pPr>
        <w:pStyle w:val="ListParagraph"/>
        <w:numPr>
          <w:ilvl w:val="0"/>
          <w:numId w:val="12"/>
        </w:numPr>
        <w:tabs>
          <w:tab w:val="left" w:pos="567"/>
        </w:tabs>
        <w:ind w:hanging="720"/>
        <w:rPr>
          <w:b/>
          <w:bCs/>
          <w:caps/>
        </w:rPr>
      </w:pPr>
      <w:r w:rsidRPr="00846583">
        <w:rPr>
          <w:b/>
          <w:bCs/>
          <w:caps/>
        </w:rPr>
        <w:t xml:space="preserve">SVEIKATOS PRIEŽIŪROS SPECIALISTŲ </w:t>
      </w:r>
      <w:r w:rsidR="00C62B36" w:rsidRPr="00846583">
        <w:rPr>
          <w:b/>
          <w:bCs/>
          <w:caps/>
        </w:rPr>
        <w:t xml:space="preserve"> organizacijų pateikti duomenys</w:t>
      </w:r>
    </w:p>
    <w:p w14:paraId="389A346C" w14:textId="1D0F6D4D" w:rsidR="002C7BF9" w:rsidRPr="00846583" w:rsidRDefault="002C7BF9" w:rsidP="002C7BF9">
      <w:pPr>
        <w:spacing w:after="120"/>
        <w:jc w:val="both"/>
      </w:pPr>
    </w:p>
    <w:p w14:paraId="5D8CC48C" w14:textId="562F4A15" w:rsidR="00662983" w:rsidRPr="00846583" w:rsidRDefault="00D67BAF" w:rsidP="00662983">
      <w:pPr>
        <w:spacing w:after="120"/>
        <w:jc w:val="both"/>
      </w:pPr>
      <w:r w:rsidRPr="00846583">
        <w:t>S</w:t>
      </w:r>
      <w:r w:rsidRPr="00846583">
        <w:rPr>
          <w:bCs/>
        </w:rPr>
        <w:t>veikatos priežiūros specialistų</w:t>
      </w:r>
      <w:r w:rsidR="00937907" w:rsidRPr="00846583">
        <w:t xml:space="preserve"> organizacijos pozicija </w:t>
      </w:r>
      <w:r w:rsidR="00880A44" w:rsidRPr="00846583">
        <w:t>ne</w:t>
      </w:r>
      <w:r w:rsidR="00937907" w:rsidRPr="00846583">
        <w:t>pateikta.</w:t>
      </w:r>
    </w:p>
    <w:p w14:paraId="3701D46A" w14:textId="77777777" w:rsidR="00A042B9" w:rsidRPr="00846583" w:rsidRDefault="00A042B9" w:rsidP="00662983">
      <w:pPr>
        <w:spacing w:after="120"/>
        <w:jc w:val="both"/>
      </w:pPr>
    </w:p>
    <w:p w14:paraId="78F23ECB" w14:textId="3ED5BFD5" w:rsidR="002F0E4F" w:rsidRPr="00846583" w:rsidRDefault="002F0E4F" w:rsidP="00CC09D4">
      <w:pPr>
        <w:pStyle w:val="ListParagraph"/>
        <w:numPr>
          <w:ilvl w:val="0"/>
          <w:numId w:val="12"/>
        </w:numPr>
        <w:tabs>
          <w:tab w:val="left" w:pos="567"/>
        </w:tabs>
        <w:ind w:hanging="720"/>
        <w:rPr>
          <w:b/>
          <w:bCs/>
          <w:caps/>
        </w:rPr>
      </w:pPr>
      <w:r w:rsidRPr="00846583">
        <w:rPr>
          <w:b/>
          <w:bCs/>
          <w:caps/>
        </w:rPr>
        <w:t>Išvad</w:t>
      </w:r>
      <w:r w:rsidR="00B811A4" w:rsidRPr="00846583">
        <w:rPr>
          <w:b/>
          <w:bCs/>
          <w:caps/>
        </w:rPr>
        <w:t>OS</w:t>
      </w:r>
      <w:r w:rsidRPr="00846583">
        <w:rPr>
          <w:b/>
          <w:bCs/>
          <w:caps/>
        </w:rPr>
        <w:t xml:space="preserve"> </w:t>
      </w:r>
    </w:p>
    <w:p w14:paraId="30069D85" w14:textId="77777777" w:rsidR="0061611B" w:rsidRPr="00846583" w:rsidRDefault="0061611B" w:rsidP="0061611B">
      <w:pPr>
        <w:ind w:left="360"/>
        <w:rPr>
          <w:i/>
          <w:szCs w:val="22"/>
        </w:rPr>
      </w:pPr>
    </w:p>
    <w:tbl>
      <w:tblPr>
        <w:tblStyle w:val="TableGrid"/>
        <w:tblW w:w="0" w:type="auto"/>
        <w:tblInd w:w="-5" w:type="dxa"/>
        <w:tblLook w:val="04A0" w:firstRow="1" w:lastRow="0" w:firstColumn="1" w:lastColumn="0" w:noHBand="0" w:noVBand="1"/>
      </w:tblPr>
      <w:tblGrid>
        <w:gridCol w:w="4820"/>
        <w:gridCol w:w="4814"/>
      </w:tblGrid>
      <w:tr w:rsidR="00334F18" w:rsidRPr="00846583" w14:paraId="4D5EFB83" w14:textId="77777777" w:rsidTr="007111C4">
        <w:trPr>
          <w:trHeight w:val="510"/>
        </w:trPr>
        <w:tc>
          <w:tcPr>
            <w:tcW w:w="9634" w:type="dxa"/>
            <w:gridSpan w:val="2"/>
            <w:vAlign w:val="center"/>
          </w:tcPr>
          <w:p w14:paraId="294EC16B" w14:textId="77777777" w:rsidR="00B811A4" w:rsidRPr="00846583"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Style2"/>
                <w:rFonts w:eastAsia="MS Gothic"/>
                <w:b/>
                <w:bCs/>
                <w:sz w:val="23"/>
                <w:szCs w:val="23"/>
              </w:rPr>
            </w:pPr>
            <w:bookmarkStart w:id="2" w:name="_Hlk185430554"/>
            <w:r w:rsidRPr="00846583">
              <w:rPr>
                <w:rStyle w:val="Style2"/>
                <w:rFonts w:eastAsia="MS Gothic"/>
                <w:b/>
                <w:bCs/>
                <w:sz w:val="23"/>
                <w:szCs w:val="23"/>
              </w:rPr>
              <w:t>Palyginamasis veiksmingumas</w:t>
            </w:r>
          </w:p>
        </w:tc>
      </w:tr>
      <w:tr w:rsidR="00334F18" w:rsidRPr="00846583" w14:paraId="30B67515" w14:textId="77777777" w:rsidTr="007111C4">
        <w:tc>
          <w:tcPr>
            <w:tcW w:w="4820" w:type="dxa"/>
          </w:tcPr>
          <w:p w14:paraId="4FE3C208" w14:textId="308E7EE2" w:rsidR="00B811A4" w:rsidRPr="00846583"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1397324644"/>
                <w15:color w:val="FFCC00"/>
                <w14:checkbox>
                  <w14:checked w14:val="1"/>
                  <w14:checkedState w14:val="2612" w14:font="MS Gothic"/>
                  <w14:uncheckedState w14:val="2610" w14:font="MS Gothic"/>
                </w14:checkbox>
              </w:sdtPr>
              <w:sdtContent>
                <w:r w:rsidR="00CB7AD6" w:rsidRPr="00846583">
                  <w:rPr>
                    <w:rStyle w:val="Style2"/>
                    <w:rFonts w:ascii="MS Gothic" w:eastAsia="MS Gothic" w:hAnsi="MS Gothic"/>
                    <w:sz w:val="23"/>
                    <w:szCs w:val="23"/>
                  </w:rPr>
                  <w:t>☒</w:t>
                </w:r>
              </w:sdtContent>
            </w:sdt>
            <w:r w:rsidR="00B811A4" w:rsidRPr="00846583">
              <w:rPr>
                <w:rStyle w:val="Style2"/>
                <w:sz w:val="23"/>
                <w:szCs w:val="23"/>
              </w:rPr>
              <w:t xml:space="preserve"> 29</w:t>
            </w:r>
            <w:r w:rsidR="00B811A4" w:rsidRPr="00846583">
              <w:rPr>
                <w:sz w:val="23"/>
                <w:szCs w:val="23"/>
              </w:rPr>
              <w:t>.1.1 yra didesnis, lyginant su įprasta klinikine praktika</w:t>
            </w:r>
          </w:p>
          <w:p w14:paraId="6F9786E4" w14:textId="77777777" w:rsidR="00B811A4" w:rsidRPr="00846583"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231EDECD" w14:textId="4577FCE8" w:rsidR="00B811A4" w:rsidRPr="00846583"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sz w:val="23"/>
                <w:szCs w:val="23"/>
              </w:rPr>
            </w:pPr>
            <w:sdt>
              <w:sdtPr>
                <w:rPr>
                  <w:rStyle w:val="Style2"/>
                  <w:sz w:val="23"/>
                  <w:szCs w:val="23"/>
                </w:rPr>
                <w:id w:val="418297090"/>
                <w15:color w:val="FFCC00"/>
                <w14:checkbox>
                  <w14:checked w14:val="0"/>
                  <w14:checkedState w14:val="2612" w14:font="MS Gothic"/>
                  <w14:uncheckedState w14:val="2610" w14:font="MS Gothic"/>
                </w14:checkbox>
              </w:sdtPr>
              <w:sdtContent>
                <w:r w:rsidR="00CB7AD6" w:rsidRPr="00846583">
                  <w:rPr>
                    <w:rStyle w:val="Style2"/>
                    <w:rFonts w:ascii="MS Gothic" w:eastAsia="MS Gothic" w:hAnsi="MS Gothic"/>
                    <w:sz w:val="23"/>
                    <w:szCs w:val="23"/>
                  </w:rPr>
                  <w:t>☐</w:t>
                </w:r>
              </w:sdtContent>
            </w:sdt>
            <w:r w:rsidR="00B811A4" w:rsidRPr="00846583">
              <w:rPr>
                <w:sz w:val="23"/>
                <w:szCs w:val="23"/>
              </w:rPr>
              <w:t xml:space="preserve"> </w:t>
            </w:r>
            <w:r w:rsidR="00B811A4" w:rsidRPr="00846583">
              <w:rPr>
                <w:rStyle w:val="Style2"/>
                <w:sz w:val="23"/>
                <w:szCs w:val="23"/>
              </w:rPr>
              <w:t>29</w:t>
            </w:r>
            <w:r w:rsidR="00B811A4" w:rsidRPr="00846583">
              <w:rPr>
                <w:sz w:val="23"/>
                <w:szCs w:val="23"/>
              </w:rPr>
              <w:t>.1.2 iš esmės nesiskiria, lyginant su įprasta klinikine praktika</w:t>
            </w:r>
          </w:p>
        </w:tc>
        <w:tc>
          <w:tcPr>
            <w:tcW w:w="4814" w:type="dxa"/>
          </w:tcPr>
          <w:p w14:paraId="72562F9E" w14:textId="77777777" w:rsidR="00B811A4" w:rsidRPr="00846583"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724755596"/>
                <w15:color w:val="FFCC00"/>
                <w14:checkbox>
                  <w14:checked w14:val="0"/>
                  <w14:checkedState w14:val="2612" w14:font="MS Gothic"/>
                  <w14:uncheckedState w14:val="2610" w14:font="MS Gothic"/>
                </w14:checkbox>
              </w:sdtPr>
              <w:sdtContent>
                <w:r w:rsidR="00B811A4" w:rsidRPr="00846583">
                  <w:rPr>
                    <w:rStyle w:val="Style2"/>
                    <w:rFonts w:ascii="Segoe UI Symbol" w:eastAsia="MS Gothic" w:hAnsi="Segoe UI Symbol" w:cs="Segoe UI Symbol"/>
                    <w:sz w:val="23"/>
                    <w:szCs w:val="23"/>
                  </w:rPr>
                  <w:t>☐</w:t>
                </w:r>
              </w:sdtContent>
            </w:sdt>
            <w:r w:rsidR="00B811A4" w:rsidRPr="00846583">
              <w:rPr>
                <w:sz w:val="23"/>
                <w:szCs w:val="23"/>
              </w:rPr>
              <w:t xml:space="preserve"> </w:t>
            </w:r>
            <w:r w:rsidR="00B811A4" w:rsidRPr="00846583">
              <w:rPr>
                <w:rStyle w:val="Style2"/>
                <w:sz w:val="23"/>
                <w:szCs w:val="23"/>
              </w:rPr>
              <w:t>29</w:t>
            </w:r>
            <w:r w:rsidR="00B811A4" w:rsidRPr="00846583">
              <w:rPr>
                <w:sz w:val="23"/>
                <w:szCs w:val="23"/>
              </w:rPr>
              <w:t xml:space="preserve">.1.3 yra neįrodytas kaip didesnis  ar iš esmės nesiskiriantis, lyginant su įprasta klinikine praktika  </w:t>
            </w:r>
          </w:p>
          <w:p w14:paraId="6F6DB5BC" w14:textId="77777777" w:rsidR="00B811A4" w:rsidRPr="00846583"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5EE1D885" w14:textId="77777777" w:rsidR="00B811A4" w:rsidRPr="00846583"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1862168479"/>
                <w15:color w:val="FFCC00"/>
                <w14:checkbox>
                  <w14:checked w14:val="0"/>
                  <w14:checkedState w14:val="2612" w14:font="MS Gothic"/>
                  <w14:uncheckedState w14:val="2610" w14:font="MS Gothic"/>
                </w14:checkbox>
              </w:sdtPr>
              <w:sdtContent>
                <w:r w:rsidR="00B811A4" w:rsidRPr="00846583">
                  <w:rPr>
                    <w:rStyle w:val="Style2"/>
                    <w:rFonts w:ascii="Segoe UI Symbol" w:eastAsia="MS Gothic" w:hAnsi="Segoe UI Symbol" w:cs="Segoe UI Symbol"/>
                    <w:sz w:val="23"/>
                    <w:szCs w:val="23"/>
                  </w:rPr>
                  <w:t>☐</w:t>
                </w:r>
              </w:sdtContent>
            </w:sdt>
            <w:r w:rsidR="00B811A4" w:rsidRPr="00846583">
              <w:rPr>
                <w:sz w:val="23"/>
                <w:szCs w:val="23"/>
              </w:rPr>
              <w:t xml:space="preserve"> </w:t>
            </w:r>
            <w:r w:rsidR="00B811A4" w:rsidRPr="00846583">
              <w:rPr>
                <w:rStyle w:val="Style2"/>
                <w:sz w:val="23"/>
                <w:szCs w:val="23"/>
              </w:rPr>
              <w:t>29</w:t>
            </w:r>
            <w:r w:rsidR="00B811A4" w:rsidRPr="00846583">
              <w:rPr>
                <w:sz w:val="23"/>
                <w:szCs w:val="23"/>
              </w:rPr>
              <w:t>.1.4 yra mažesnis, lyginant su įprasta klinikine praktika</w:t>
            </w:r>
          </w:p>
          <w:p w14:paraId="193C3D76" w14:textId="77777777" w:rsidR="00B811A4" w:rsidRPr="00846583"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370E94DC" w14:textId="4EC80DB9" w:rsidR="00B811A4" w:rsidRPr="00846583"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1857960180"/>
                <w15:color w:val="FFCC00"/>
                <w14:checkbox>
                  <w14:checked w14:val="0"/>
                  <w14:checkedState w14:val="2612" w14:font="MS Gothic"/>
                  <w14:uncheckedState w14:val="2610" w14:font="MS Gothic"/>
                </w14:checkbox>
              </w:sdtPr>
              <w:sdtContent>
                <w:r w:rsidR="00B811A4" w:rsidRPr="00846583">
                  <w:rPr>
                    <w:rStyle w:val="Style2"/>
                    <w:rFonts w:ascii="Segoe UI Symbol" w:eastAsia="MS Gothic" w:hAnsi="Segoe UI Symbol" w:cs="Segoe UI Symbol"/>
                    <w:sz w:val="23"/>
                    <w:szCs w:val="23"/>
                  </w:rPr>
                  <w:t>☐</w:t>
                </w:r>
              </w:sdtContent>
            </w:sdt>
            <w:r w:rsidR="00B811A4" w:rsidRPr="00846583">
              <w:rPr>
                <w:sz w:val="23"/>
                <w:szCs w:val="23"/>
              </w:rPr>
              <w:t xml:space="preserve"> </w:t>
            </w:r>
            <w:r w:rsidR="00B811A4" w:rsidRPr="00846583">
              <w:rPr>
                <w:rStyle w:val="Style2"/>
                <w:sz w:val="23"/>
                <w:szCs w:val="23"/>
              </w:rPr>
              <w:t>29</w:t>
            </w:r>
            <w:r w:rsidR="00B811A4" w:rsidRPr="00846583">
              <w:rPr>
                <w:sz w:val="23"/>
                <w:szCs w:val="23"/>
              </w:rPr>
              <w:t>.1.5 pateikti duomenys apie palyginamąjį veiksmingumą yra netinkami vertinti</w:t>
            </w:r>
          </w:p>
          <w:p w14:paraId="45719037" w14:textId="77777777" w:rsidR="00B811A4" w:rsidRPr="00846583"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rFonts w:eastAsia="MS Gothic"/>
                <w:sz w:val="23"/>
                <w:szCs w:val="23"/>
              </w:rPr>
            </w:pPr>
          </w:p>
        </w:tc>
      </w:tr>
      <w:bookmarkEnd w:id="2"/>
      <w:tr w:rsidR="00334F18" w:rsidRPr="00846583" w14:paraId="0E0F5168" w14:textId="77777777" w:rsidTr="00743956">
        <w:trPr>
          <w:trHeight w:val="510"/>
        </w:trPr>
        <w:tc>
          <w:tcPr>
            <w:tcW w:w="9634" w:type="dxa"/>
            <w:gridSpan w:val="2"/>
            <w:vAlign w:val="center"/>
          </w:tcPr>
          <w:p w14:paraId="62B67E12" w14:textId="77777777" w:rsidR="00B811A4" w:rsidRPr="00846583"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Style2"/>
                <w:rFonts w:eastAsia="MS Gothic"/>
                <w:b/>
                <w:bCs/>
                <w:sz w:val="23"/>
                <w:szCs w:val="23"/>
              </w:rPr>
            </w:pPr>
            <w:r w:rsidRPr="00846583">
              <w:rPr>
                <w:rStyle w:val="Style2"/>
                <w:rFonts w:eastAsia="MS Gothic"/>
                <w:b/>
                <w:bCs/>
                <w:sz w:val="23"/>
                <w:szCs w:val="23"/>
              </w:rPr>
              <w:t>Kaštų naudingumas</w:t>
            </w:r>
          </w:p>
        </w:tc>
      </w:tr>
      <w:tr w:rsidR="00334F18" w:rsidRPr="00846583" w14:paraId="6A2F62B2" w14:textId="77777777" w:rsidTr="00743956">
        <w:tc>
          <w:tcPr>
            <w:tcW w:w="4820" w:type="dxa"/>
          </w:tcPr>
          <w:p w14:paraId="7CB2C697" w14:textId="50C24415" w:rsidR="00B811A4" w:rsidRPr="00846583"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301657889"/>
                <w15:color w:val="FFCC00"/>
                <w14:checkbox>
                  <w14:checked w14:val="1"/>
                  <w14:checkedState w14:val="2612" w14:font="MS Gothic"/>
                  <w14:uncheckedState w14:val="2610" w14:font="MS Gothic"/>
                </w14:checkbox>
              </w:sdtPr>
              <w:sdtContent>
                <w:r w:rsidR="007F6C04" w:rsidRPr="00846583">
                  <w:rPr>
                    <w:rStyle w:val="Style2"/>
                    <w:rFonts w:ascii="MS Gothic" w:eastAsia="MS Gothic" w:hAnsi="MS Gothic"/>
                    <w:sz w:val="23"/>
                    <w:szCs w:val="23"/>
                  </w:rPr>
                  <w:t>☒</w:t>
                </w:r>
              </w:sdtContent>
            </w:sdt>
            <w:r w:rsidR="00B811A4" w:rsidRPr="00846583">
              <w:rPr>
                <w:sz w:val="23"/>
                <w:szCs w:val="23"/>
              </w:rPr>
              <w:t xml:space="preserve"> 29.2.1 atitinka referencinę naudingumo vertę taikant arba netaikant</w:t>
            </w:r>
            <w:r w:rsidR="00437623" w:rsidRPr="00846583">
              <w:rPr>
                <w:b/>
                <w:bCs/>
                <w:sz w:val="23"/>
                <w:szCs w:val="23"/>
              </w:rPr>
              <w:t xml:space="preserve"> </w:t>
            </w:r>
            <w:r w:rsidR="00B811A4" w:rsidRPr="00846583">
              <w:rPr>
                <w:sz w:val="23"/>
                <w:szCs w:val="23"/>
              </w:rPr>
              <w:t>PGS</w:t>
            </w:r>
          </w:p>
          <w:p w14:paraId="71797774" w14:textId="77777777" w:rsidR="00B811A4" w:rsidRPr="00846583"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5BE88CDB" w14:textId="60C4FFA7" w:rsidR="00B811A4" w:rsidRPr="00846583"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rFonts w:eastAsia="MS Gothic"/>
                <w:sz w:val="23"/>
                <w:szCs w:val="23"/>
              </w:rPr>
            </w:pPr>
          </w:p>
        </w:tc>
        <w:tc>
          <w:tcPr>
            <w:tcW w:w="4814" w:type="dxa"/>
          </w:tcPr>
          <w:p w14:paraId="0370A72C" w14:textId="77777777" w:rsidR="00B811A4" w:rsidRPr="00846583"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791860283"/>
                <w15:color w:val="FFCC00"/>
                <w14:checkbox>
                  <w14:checked w14:val="0"/>
                  <w14:checkedState w14:val="2612" w14:font="MS Gothic"/>
                  <w14:uncheckedState w14:val="2610" w14:font="MS Gothic"/>
                </w14:checkbox>
              </w:sdtPr>
              <w:sdtContent>
                <w:r w:rsidR="00B811A4" w:rsidRPr="00846583">
                  <w:rPr>
                    <w:rStyle w:val="Style2"/>
                    <w:rFonts w:ascii="Segoe UI Symbol" w:eastAsia="MS Gothic" w:hAnsi="Segoe UI Symbol" w:cs="Segoe UI Symbol"/>
                    <w:sz w:val="23"/>
                    <w:szCs w:val="23"/>
                  </w:rPr>
                  <w:t>☐</w:t>
                </w:r>
              </w:sdtContent>
            </w:sdt>
            <w:r w:rsidR="00B811A4" w:rsidRPr="00846583">
              <w:rPr>
                <w:sz w:val="23"/>
                <w:szCs w:val="23"/>
              </w:rPr>
              <w:t xml:space="preserve"> 29.2.3 neatitinka referencinės naudingumo vertės taikant arba netaikant PGS</w:t>
            </w:r>
          </w:p>
          <w:p w14:paraId="13C9EEE5" w14:textId="77777777" w:rsidR="00B811A4" w:rsidRPr="00846583"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289E6691" w14:textId="77777777" w:rsidR="00B811A4" w:rsidRPr="00846583"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5FD1976C" w14:textId="77777777" w:rsidR="00B811A4" w:rsidRPr="00846583"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3"/>
                <w:szCs w:val="23"/>
              </w:rPr>
            </w:pPr>
            <w:sdt>
              <w:sdtPr>
                <w:rPr>
                  <w:rStyle w:val="Style2"/>
                  <w:sz w:val="23"/>
                  <w:szCs w:val="23"/>
                </w:rPr>
                <w:id w:val="-943849855"/>
                <w15:color w:val="FFCC00"/>
                <w14:checkbox>
                  <w14:checked w14:val="0"/>
                  <w14:checkedState w14:val="2612" w14:font="MS Gothic"/>
                  <w14:uncheckedState w14:val="2610" w14:font="MS Gothic"/>
                </w14:checkbox>
              </w:sdtPr>
              <w:sdtContent>
                <w:r w:rsidR="00B811A4" w:rsidRPr="00846583">
                  <w:rPr>
                    <w:rStyle w:val="Style2"/>
                    <w:rFonts w:ascii="Segoe UI Symbol" w:eastAsia="MS Gothic" w:hAnsi="Segoe UI Symbol" w:cs="Segoe UI Symbol"/>
                    <w:sz w:val="23"/>
                    <w:szCs w:val="23"/>
                  </w:rPr>
                  <w:t>☐</w:t>
                </w:r>
              </w:sdtContent>
            </w:sdt>
            <w:r w:rsidR="00B811A4" w:rsidRPr="00846583">
              <w:rPr>
                <w:sz w:val="23"/>
                <w:szCs w:val="23"/>
              </w:rPr>
              <w:t xml:space="preserve"> 29.2.5 pateikti duomenys apie kaštų naudingumą yra netinkami vertinti</w:t>
            </w:r>
          </w:p>
          <w:p w14:paraId="06AB06C5" w14:textId="77777777" w:rsidR="00B811A4" w:rsidRPr="00846583"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rFonts w:eastAsia="MS Gothic"/>
                <w:sz w:val="23"/>
                <w:szCs w:val="23"/>
              </w:rPr>
            </w:pPr>
          </w:p>
        </w:tc>
      </w:tr>
      <w:tr w:rsidR="00334F18" w:rsidRPr="00846583" w14:paraId="632C9193" w14:textId="77777777" w:rsidTr="00027464">
        <w:tc>
          <w:tcPr>
            <w:tcW w:w="9634" w:type="dxa"/>
            <w:gridSpan w:val="2"/>
          </w:tcPr>
          <w:p w14:paraId="15C289C9" w14:textId="47C5A3CE" w:rsidR="007111C4" w:rsidRPr="00846583"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sz w:val="23"/>
                <w:szCs w:val="23"/>
              </w:rPr>
            </w:pPr>
            <w:sdt>
              <w:sdtPr>
                <w:rPr>
                  <w:rStyle w:val="Style2"/>
                  <w:sz w:val="23"/>
                  <w:szCs w:val="23"/>
                </w:rPr>
                <w:id w:val="1266579562"/>
                <w15:color w:val="FFCC00"/>
                <w14:checkbox>
                  <w14:checked w14:val="0"/>
                  <w14:checkedState w14:val="2612" w14:font="MS Gothic"/>
                  <w14:uncheckedState w14:val="2610" w14:font="MS Gothic"/>
                </w14:checkbox>
              </w:sdtPr>
              <w:sdtContent>
                <w:r w:rsidR="007111C4" w:rsidRPr="00846583">
                  <w:rPr>
                    <w:rStyle w:val="Style2"/>
                    <w:rFonts w:ascii="Segoe UI Symbol" w:eastAsia="MS Gothic" w:hAnsi="Segoe UI Symbol" w:cs="Segoe UI Symbol"/>
                    <w:sz w:val="23"/>
                    <w:szCs w:val="23"/>
                  </w:rPr>
                  <w:t>☐</w:t>
                </w:r>
              </w:sdtContent>
            </w:sdt>
            <w:r w:rsidR="007111C4" w:rsidRPr="00846583">
              <w:rPr>
                <w:sz w:val="23"/>
                <w:szCs w:val="23"/>
              </w:rPr>
              <w:t xml:space="preserve"> Vykdant Aprašo &lt;17</w:t>
            </w:r>
            <w:r w:rsidR="007111C4" w:rsidRPr="00846583">
              <w:rPr>
                <w:sz w:val="23"/>
                <w:szCs w:val="23"/>
                <w:vertAlign w:val="superscript"/>
              </w:rPr>
              <w:t>3</w:t>
            </w:r>
            <w:r w:rsidR="007111C4" w:rsidRPr="00846583">
              <w:rPr>
                <w:sz w:val="23"/>
                <w:szCs w:val="23"/>
              </w:rPr>
              <w:t>.1&gt;&lt;17</w:t>
            </w:r>
            <w:r w:rsidR="007111C4" w:rsidRPr="00846583">
              <w:rPr>
                <w:sz w:val="23"/>
                <w:szCs w:val="23"/>
                <w:vertAlign w:val="superscript"/>
              </w:rPr>
              <w:t>3</w:t>
            </w:r>
            <w:r w:rsidR="007111C4" w:rsidRPr="00846583">
              <w:rPr>
                <w:sz w:val="23"/>
                <w:szCs w:val="23"/>
              </w:rPr>
              <w:t>.2&gt;&lt;17</w:t>
            </w:r>
            <w:r w:rsidR="007111C4" w:rsidRPr="00846583">
              <w:rPr>
                <w:sz w:val="23"/>
                <w:szCs w:val="23"/>
                <w:vertAlign w:val="superscript"/>
              </w:rPr>
              <w:t>3</w:t>
            </w:r>
            <w:r w:rsidR="007111C4" w:rsidRPr="00846583">
              <w:rPr>
                <w:sz w:val="23"/>
                <w:szCs w:val="23"/>
              </w:rPr>
              <w:t>.3&gt; punktą vaistinio (-ų) preparato (-ų) ekonominis vertinimas neatliekamas, išvados dėl kaštų naudingumo neteikiamos</w:t>
            </w:r>
          </w:p>
        </w:tc>
      </w:tr>
    </w:tbl>
    <w:p w14:paraId="08D5B3B6" w14:textId="292D1124" w:rsidR="0061611B" w:rsidRPr="00846583" w:rsidRDefault="0061611B" w:rsidP="0061611B">
      <w:pPr>
        <w:rPr>
          <w:i/>
          <w:szCs w:val="22"/>
        </w:rPr>
      </w:pPr>
    </w:p>
    <w:p w14:paraId="1B85C083" w14:textId="77777777" w:rsidR="009E44AE" w:rsidRPr="00846583" w:rsidRDefault="009E44AE" w:rsidP="00381024"/>
    <w:p w14:paraId="7EDF2BC2" w14:textId="77777777" w:rsidR="00F82AE2" w:rsidRPr="00846583" w:rsidRDefault="00F82AE2" w:rsidP="00381024"/>
    <w:p w14:paraId="2C60F9FA" w14:textId="77777777" w:rsidR="00F82AE2" w:rsidRPr="00846583" w:rsidRDefault="00F82AE2" w:rsidP="00381024"/>
    <w:p w14:paraId="2A4BA152" w14:textId="77777777" w:rsidR="00F82AE2" w:rsidRPr="00846583" w:rsidRDefault="00F82AE2" w:rsidP="00381024"/>
    <w:p w14:paraId="54E2DE42" w14:textId="77777777" w:rsidR="00F82AE2" w:rsidRPr="00846583" w:rsidRDefault="00F82AE2" w:rsidP="00381024"/>
    <w:p w14:paraId="3B2D1F25" w14:textId="3A80E19F" w:rsidR="000001B0" w:rsidRPr="00846583" w:rsidRDefault="000001B0" w:rsidP="00CC09D4">
      <w:pPr>
        <w:pStyle w:val="ListParagraph"/>
        <w:numPr>
          <w:ilvl w:val="0"/>
          <w:numId w:val="12"/>
        </w:numPr>
        <w:ind w:left="567" w:hanging="567"/>
      </w:pPr>
      <w:r w:rsidRPr="00846583">
        <w:rPr>
          <w:b/>
        </w:rPr>
        <w:lastRenderedPageBreak/>
        <w:t>REKOME</w:t>
      </w:r>
      <w:r w:rsidR="00D83182" w:rsidRPr="00846583">
        <w:rPr>
          <w:b/>
        </w:rPr>
        <w:t>N</w:t>
      </w:r>
      <w:r w:rsidRPr="00846583">
        <w:rPr>
          <w:b/>
        </w:rPr>
        <w:t>DACIJA</w:t>
      </w:r>
    </w:p>
    <w:p w14:paraId="5A269AD6" w14:textId="77777777" w:rsidR="007F6C04" w:rsidRPr="00846583" w:rsidRDefault="007F6C04" w:rsidP="007F6C04">
      <w:pPr>
        <w:spacing w:line="276" w:lineRule="auto"/>
        <w:jc w:val="both"/>
      </w:pPr>
    </w:p>
    <w:p w14:paraId="306CB553" w14:textId="6809C710" w:rsidR="007F6C04" w:rsidRPr="00846583" w:rsidRDefault="007F6C04" w:rsidP="007F6C04">
      <w:pPr>
        <w:spacing w:line="276" w:lineRule="auto"/>
        <w:jc w:val="both"/>
        <w:rPr>
          <w:i/>
        </w:rPr>
      </w:pPr>
      <w:r w:rsidRPr="00846583">
        <w:t>Vadovaujantis Aprašo 30</w:t>
      </w:r>
      <w:r w:rsidRPr="00846583">
        <w:rPr>
          <w:vertAlign w:val="superscript"/>
        </w:rPr>
        <w:t>1</w:t>
      </w:r>
      <w:r w:rsidRPr="00846583">
        <w:t>.1. papunkčiu rekomenduojama kompensuoti vaistinį preparatą pagal paraiškoje nurodytą indikaciją (arba jos dalį) su skyrimo sąlygomis, netaikant PGS, kai vertinimo išvados atitinka Aprašo 29.1.1 ir 29.2.1 papunkčiuose numatytas sąlygas.</w:t>
      </w:r>
    </w:p>
    <w:p w14:paraId="3D60BB06" w14:textId="77777777" w:rsidR="00B811A4" w:rsidRPr="00846583" w:rsidRDefault="00B811A4" w:rsidP="00B811A4">
      <w:pPr>
        <w:widowControl w:val="0"/>
        <w:tabs>
          <w:tab w:val="left" w:pos="1418"/>
        </w:tabs>
        <w:suppressAutoHyphens/>
        <w:spacing w:line="360" w:lineRule="atLeast"/>
        <w:jc w:val="center"/>
        <w:textAlignment w:val="center"/>
        <w:rPr>
          <w:lang w:eastAsia="lt-LT"/>
        </w:rPr>
      </w:pPr>
    </w:p>
    <w:p w14:paraId="42F3A222" w14:textId="5811CCF4" w:rsidR="00B811A4" w:rsidRPr="00846583" w:rsidRDefault="00183F54" w:rsidP="00B811A4">
      <w:pPr>
        <w:tabs>
          <w:tab w:val="left" w:pos="426"/>
        </w:tabs>
        <w:jc w:val="both"/>
        <w:rPr>
          <w:b/>
          <w:lang w:eastAsia="lt-LT"/>
        </w:rPr>
      </w:pPr>
      <w:r w:rsidRPr="00846583">
        <w:rPr>
          <w:b/>
          <w:lang w:eastAsia="lt-LT"/>
        </w:rPr>
        <w:t xml:space="preserve">7.1 </w:t>
      </w:r>
      <w:r w:rsidR="00B811A4" w:rsidRPr="00846583">
        <w:rPr>
          <w:b/>
          <w:lang w:eastAsia="lt-LT"/>
        </w:rPr>
        <w:t xml:space="preserve"> Siūloma (-os) kompensuoti terapinės indikacijos ir skyrimo sąlygos </w:t>
      </w:r>
    </w:p>
    <w:p w14:paraId="179FBABC" w14:textId="77777777" w:rsidR="00B811A4" w:rsidRPr="00846583" w:rsidRDefault="00B811A4" w:rsidP="00B811A4">
      <w:pPr>
        <w:tabs>
          <w:tab w:val="left" w:pos="426"/>
        </w:tabs>
        <w:jc w:val="both"/>
        <w:rPr>
          <w:b/>
          <w:lang w:eastAsia="lt-LT"/>
        </w:rPr>
      </w:pPr>
    </w:p>
    <w:p w14:paraId="65CB839B" w14:textId="77777777" w:rsidR="00B811A4" w:rsidRPr="00846583" w:rsidRDefault="00B811A4" w:rsidP="00B811A4">
      <w:pPr>
        <w:pStyle w:val="NoSpacing"/>
        <w:rPr>
          <w:rFonts w:ascii="Times New Roman" w:hAnsi="Times New Roman"/>
          <w:b/>
          <w:sz w:val="24"/>
          <w:szCs w:val="24"/>
          <w:lang w:eastAsia="lt-LT"/>
        </w:rPr>
      </w:pPr>
      <w:r w:rsidRPr="00846583">
        <w:rPr>
          <w:rFonts w:ascii="Times New Roman" w:hAnsi="Times New Roman"/>
          <w:b/>
          <w:sz w:val="24"/>
          <w:szCs w:val="24"/>
          <w:lang w:eastAsia="lt-LT"/>
        </w:rPr>
        <w:t>Terapinės indikacijos</w:t>
      </w:r>
    </w:p>
    <w:p w14:paraId="57C09159" w14:textId="77777777" w:rsidR="0044277F" w:rsidRPr="00846583" w:rsidRDefault="0044277F" w:rsidP="0044277F">
      <w:pPr>
        <w:jc w:val="both"/>
        <w:rPr>
          <w:lang w:eastAsia="lt-LT"/>
        </w:rPr>
      </w:pPr>
    </w:p>
    <w:p w14:paraId="07B9B203" w14:textId="77777777" w:rsidR="00CB7AD6" w:rsidRPr="00846583" w:rsidRDefault="00CB7AD6" w:rsidP="00CB7AD6">
      <w:pPr>
        <w:jc w:val="both"/>
      </w:pPr>
      <w:r w:rsidRPr="00846583">
        <w:t xml:space="preserve">IMFINZI derinys su FLOT (fluorouracilas, leukovorinas, oksaliplatina, docetakselis) chemoterapija kaip neoadjuvantinis ir adjuvantinis gydymas, po to skiriant adjuvantinę monoterapiją IMFINZI, skirtas suaugusiųjų, sergančių operabilia skrandžio arba skrandžio ir stemplės jungties adenokarcinoma, gydymui. </w:t>
      </w:r>
    </w:p>
    <w:p w14:paraId="79EECE2A" w14:textId="77777777" w:rsidR="00CB7AD6" w:rsidRPr="00846583" w:rsidRDefault="00CB7AD6" w:rsidP="00CB7AD6">
      <w:pPr>
        <w:jc w:val="both"/>
      </w:pPr>
    </w:p>
    <w:p w14:paraId="2A169B07" w14:textId="14C74FB0" w:rsidR="0044277F" w:rsidRPr="00846583" w:rsidRDefault="00CB7AD6" w:rsidP="0044277F">
      <w:pPr>
        <w:pStyle w:val="NoSpacing"/>
        <w:jc w:val="both"/>
        <w:rPr>
          <w:rFonts w:ascii="Times New Roman" w:hAnsi="Times New Roman"/>
          <w:sz w:val="24"/>
          <w:szCs w:val="24"/>
        </w:rPr>
      </w:pPr>
      <w:r w:rsidRPr="00846583">
        <w:rPr>
          <w:rFonts w:ascii="Times New Roman" w:hAnsi="Times New Roman"/>
          <w:sz w:val="24"/>
          <w:szCs w:val="24"/>
        </w:rPr>
        <w:t>TLK-10 AM kodas – C15, C16.</w:t>
      </w:r>
    </w:p>
    <w:p w14:paraId="2CEFB192" w14:textId="77777777" w:rsidR="00D458B7" w:rsidRPr="00846583" w:rsidRDefault="00D458B7" w:rsidP="00D458B7">
      <w:pPr>
        <w:pStyle w:val="NoSpacing"/>
        <w:jc w:val="both"/>
        <w:rPr>
          <w:rFonts w:ascii="Times New Roman" w:hAnsi="Times New Roman"/>
          <w:sz w:val="24"/>
          <w:szCs w:val="24"/>
        </w:rPr>
      </w:pPr>
    </w:p>
    <w:p w14:paraId="027BF59A" w14:textId="57279A37" w:rsidR="00D458B7" w:rsidRPr="00846583" w:rsidRDefault="00183F54" w:rsidP="00D458B7">
      <w:pPr>
        <w:pStyle w:val="NoSpacing"/>
        <w:jc w:val="both"/>
        <w:rPr>
          <w:rFonts w:ascii="Times New Roman" w:hAnsi="Times New Roman"/>
          <w:b/>
          <w:sz w:val="24"/>
          <w:szCs w:val="24"/>
        </w:rPr>
      </w:pPr>
      <w:r w:rsidRPr="00846583">
        <w:rPr>
          <w:rFonts w:ascii="Times New Roman" w:hAnsi="Times New Roman"/>
          <w:b/>
          <w:sz w:val="24"/>
          <w:szCs w:val="24"/>
        </w:rPr>
        <w:t xml:space="preserve">7.2 </w:t>
      </w:r>
      <w:r w:rsidR="00D458B7" w:rsidRPr="00846583">
        <w:rPr>
          <w:rFonts w:ascii="Times New Roman" w:hAnsi="Times New Roman"/>
          <w:b/>
          <w:sz w:val="24"/>
          <w:szCs w:val="24"/>
        </w:rPr>
        <w:t>Skyrimo sąlygos</w:t>
      </w:r>
    </w:p>
    <w:p w14:paraId="3B01C689" w14:textId="77777777" w:rsidR="00D458B7" w:rsidRPr="00846583" w:rsidRDefault="00D458B7" w:rsidP="00D458B7">
      <w:pPr>
        <w:pStyle w:val="NoSpacing"/>
        <w:jc w:val="both"/>
        <w:rPr>
          <w:rFonts w:ascii="Times New Roman" w:eastAsia="Times New Roman" w:hAnsi="Times New Roman"/>
          <w:color w:val="000000"/>
          <w:sz w:val="24"/>
          <w:szCs w:val="24"/>
        </w:rPr>
      </w:pPr>
    </w:p>
    <w:p w14:paraId="3D3AF093" w14:textId="79A1CD09" w:rsidR="00CB7AD6" w:rsidRPr="00846583" w:rsidRDefault="00CB7AD6" w:rsidP="0010365E">
      <w:pPr>
        <w:spacing w:line="276" w:lineRule="auto"/>
        <w:jc w:val="both"/>
        <w:rPr>
          <w:rFonts w:ascii="-webkit-standard" w:hAnsi="-webkit-standard"/>
          <w:color w:val="000000"/>
          <w:sz w:val="27"/>
          <w:szCs w:val="27"/>
        </w:rPr>
      </w:pPr>
      <w:r w:rsidRPr="00846583">
        <w:t xml:space="preserve">Skiriamas </w:t>
      </w:r>
      <w:r w:rsidR="006E1DF9" w:rsidRPr="00846583">
        <w:t xml:space="preserve">derinyje su chemoterapija fluorouracilu, leukovorinu, oksaliplatina, docetakseliu neoadjuvantiniam </w:t>
      </w:r>
      <w:r w:rsidR="009457CB" w:rsidRPr="00846583">
        <w:t xml:space="preserve">gydymui </w:t>
      </w:r>
      <w:r w:rsidR="006E1DF9" w:rsidRPr="00846583">
        <w:t xml:space="preserve">ir adjuvantiniam gydymui </w:t>
      </w:r>
      <w:r w:rsidR="00645CC5" w:rsidRPr="00846583">
        <w:t xml:space="preserve">monoterapijai </w:t>
      </w:r>
      <w:r w:rsidR="0010365E" w:rsidRPr="00846583">
        <w:t xml:space="preserve">anksčiau negydytiems </w:t>
      </w:r>
      <w:r w:rsidR="00390896" w:rsidRPr="00846583">
        <w:t xml:space="preserve">geros funkcinės būklės </w:t>
      </w:r>
      <w:r w:rsidR="00390896" w:rsidRPr="00846583">
        <w:rPr>
          <w:rFonts w:eastAsiaTheme="minorHAnsi"/>
        </w:rPr>
        <w:t xml:space="preserve">(ECOG 0 ar 1 balas) </w:t>
      </w:r>
      <w:r w:rsidRPr="00846583">
        <w:t xml:space="preserve">pacientams, kuriems histologiškai patvirtinta </w:t>
      </w:r>
      <w:r w:rsidRPr="00846583">
        <w:rPr>
          <w:rStyle w:val="Strong"/>
          <w:b w:val="0"/>
          <w:color w:val="000000"/>
        </w:rPr>
        <w:t>II–IVA stadijos skrandžio arba skrandžio ir stemplės jungties adenokarcinomą</w:t>
      </w:r>
      <w:r w:rsidR="00390896" w:rsidRPr="00846583">
        <w:rPr>
          <w:rStyle w:val="Strong"/>
          <w:b w:val="0"/>
          <w:color w:val="000000"/>
        </w:rPr>
        <w:t xml:space="preserve"> ir</w:t>
      </w:r>
      <w:r w:rsidRPr="00846583">
        <w:rPr>
          <w:rStyle w:val="Strong"/>
          <w:b w:val="0"/>
          <w:color w:val="000000"/>
        </w:rPr>
        <w:t xml:space="preserve"> kurie tinkami radikaliai operacijai</w:t>
      </w:r>
      <w:r w:rsidR="0010365E" w:rsidRPr="00846583">
        <w:rPr>
          <w:rStyle w:val="Strong"/>
          <w:b w:val="0"/>
          <w:color w:val="000000"/>
        </w:rPr>
        <w:t xml:space="preserve">. </w:t>
      </w:r>
    </w:p>
    <w:p w14:paraId="4489BFB6" w14:textId="77777777" w:rsidR="006E1DF9" w:rsidRPr="00846583" w:rsidRDefault="006E1DF9" w:rsidP="00CB7AD6">
      <w:pPr>
        <w:jc w:val="both"/>
      </w:pPr>
    </w:p>
    <w:p w14:paraId="33B8DE04" w14:textId="77777777" w:rsidR="00283E59" w:rsidRPr="00846583" w:rsidRDefault="00283E59" w:rsidP="00283E59">
      <w:pPr>
        <w:widowControl w:val="0"/>
        <w:tabs>
          <w:tab w:val="left" w:pos="1418"/>
        </w:tabs>
        <w:suppressAutoHyphens/>
        <w:spacing w:line="360" w:lineRule="atLeast"/>
        <w:jc w:val="center"/>
        <w:textAlignment w:val="center"/>
      </w:pPr>
      <w:r w:rsidRPr="00846583">
        <w:rPr>
          <w:lang w:eastAsia="lt-LT"/>
        </w:rPr>
        <w:t>____________________________</w:t>
      </w:r>
    </w:p>
    <w:p w14:paraId="562A1372" w14:textId="77777777" w:rsidR="00283E59" w:rsidRPr="00846583" w:rsidRDefault="00283E59" w:rsidP="00283E59">
      <w:pPr>
        <w:jc w:val="both"/>
        <w:rPr>
          <w:b/>
          <w:sz w:val="20"/>
        </w:rPr>
      </w:pPr>
    </w:p>
    <w:p w14:paraId="7CDFF220" w14:textId="58191D98" w:rsidR="000723FF" w:rsidRPr="00846583" w:rsidRDefault="000723FF" w:rsidP="00824B92">
      <w:pPr>
        <w:rPr>
          <w:b/>
        </w:rPr>
      </w:pPr>
    </w:p>
    <w:sectPr w:rsidR="000723FF" w:rsidRPr="00846583" w:rsidSect="00063A50">
      <w:headerReference w:type="first" r:id="rId8"/>
      <w:footerReference w:type="first" r:id="rId9"/>
      <w:pgSz w:w="11907" w:h="16840" w:code="9"/>
      <w:pgMar w:top="1134" w:right="567" w:bottom="1134" w:left="1701" w:header="646"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3BD7E" w14:textId="77777777" w:rsidR="00F20C8B" w:rsidRDefault="00F20C8B">
      <w:r>
        <w:separator/>
      </w:r>
    </w:p>
  </w:endnote>
  <w:endnote w:type="continuationSeparator" w:id="0">
    <w:p w14:paraId="749E9709" w14:textId="77777777" w:rsidR="00F20C8B" w:rsidRDefault="00F20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ebkit-standar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D3368" w14:textId="77777777" w:rsidR="00347FAA" w:rsidRDefault="00347FAA">
    <w:pPr>
      <w:pStyle w:val="Footer"/>
      <w:jc w:val="right"/>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1E37F" w14:textId="77777777" w:rsidR="00F20C8B" w:rsidRDefault="00F20C8B">
      <w:r>
        <w:separator/>
      </w:r>
    </w:p>
  </w:footnote>
  <w:footnote w:type="continuationSeparator" w:id="0">
    <w:p w14:paraId="2498AD5B" w14:textId="77777777" w:rsidR="00F20C8B" w:rsidRDefault="00F20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1C8F" w14:textId="77777777" w:rsidR="00347FAA" w:rsidRDefault="00347FAA" w:rsidP="00FD793C">
    <w:pPr>
      <w:pStyle w:val="Header"/>
      <w:ind w:left="612"/>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D8E"/>
    <w:multiLevelType w:val="hybridMultilevel"/>
    <w:tmpl w:val="10FAC1C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1276250"/>
    <w:multiLevelType w:val="hybridMultilevel"/>
    <w:tmpl w:val="3B6C29F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E0081E"/>
    <w:multiLevelType w:val="multilevel"/>
    <w:tmpl w:val="0427001F"/>
    <w:lvl w:ilvl="0">
      <w:start w:val="1"/>
      <w:numFmt w:val="decimal"/>
      <w:lvlText w:val="%1."/>
      <w:lvlJc w:val="left"/>
      <w:pPr>
        <w:ind w:left="360" w:hanging="360"/>
      </w:pPr>
      <w:rPr>
        <w:rFonts w:hint="default"/>
        <w:b w:val="0"/>
        <w:bCs w:val="0"/>
      </w:rPr>
    </w:lvl>
    <w:lvl w:ilvl="1">
      <w:start w:val="1"/>
      <w:numFmt w:val="decimal"/>
      <w:lvlText w:val="%1.%2."/>
      <w:lvlJc w:val="left"/>
      <w:pPr>
        <w:ind w:left="28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AD2E58"/>
    <w:multiLevelType w:val="hybridMultilevel"/>
    <w:tmpl w:val="F6943F7A"/>
    <w:lvl w:ilvl="0" w:tplc="AB64BC8E">
      <w:start w:val="1"/>
      <w:numFmt w:val="decimal"/>
      <w:lvlText w:val="%1."/>
      <w:lvlJc w:val="left"/>
      <w:pPr>
        <w:ind w:left="720" w:hanging="360"/>
      </w:pPr>
      <w:rPr>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A101C59"/>
    <w:multiLevelType w:val="hybridMultilevel"/>
    <w:tmpl w:val="64544F3A"/>
    <w:lvl w:ilvl="0" w:tplc="04270001">
      <w:start w:val="1"/>
      <w:numFmt w:val="bullet"/>
      <w:lvlText w:val=""/>
      <w:lvlJc w:val="left"/>
      <w:pPr>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5" w15:restartNumberingAfterBreak="0">
    <w:nsid w:val="1A816B09"/>
    <w:multiLevelType w:val="hybridMultilevel"/>
    <w:tmpl w:val="8FBEE17A"/>
    <w:lvl w:ilvl="0" w:tplc="0427000F">
      <w:start w:val="16"/>
      <w:numFmt w:val="decimal"/>
      <w:lvlText w:val="%1."/>
      <w:lvlJc w:val="left"/>
      <w:pPr>
        <w:ind w:left="501" w:hanging="360"/>
      </w:pPr>
      <w:rPr>
        <w:rFonts w:hint="default"/>
      </w:rPr>
    </w:lvl>
    <w:lvl w:ilvl="1" w:tplc="04270019" w:tentative="1">
      <w:start w:val="1"/>
      <w:numFmt w:val="lowerLetter"/>
      <w:lvlText w:val="%2."/>
      <w:lvlJc w:val="left"/>
      <w:pPr>
        <w:ind w:left="1581" w:hanging="360"/>
      </w:pPr>
    </w:lvl>
    <w:lvl w:ilvl="2" w:tplc="0427001B" w:tentative="1">
      <w:start w:val="1"/>
      <w:numFmt w:val="lowerRoman"/>
      <w:lvlText w:val="%3."/>
      <w:lvlJc w:val="right"/>
      <w:pPr>
        <w:ind w:left="2301" w:hanging="180"/>
      </w:pPr>
    </w:lvl>
    <w:lvl w:ilvl="3" w:tplc="0427000F" w:tentative="1">
      <w:start w:val="1"/>
      <w:numFmt w:val="decimal"/>
      <w:lvlText w:val="%4."/>
      <w:lvlJc w:val="left"/>
      <w:pPr>
        <w:ind w:left="3021" w:hanging="360"/>
      </w:pPr>
    </w:lvl>
    <w:lvl w:ilvl="4" w:tplc="04270019" w:tentative="1">
      <w:start w:val="1"/>
      <w:numFmt w:val="lowerLetter"/>
      <w:lvlText w:val="%5."/>
      <w:lvlJc w:val="left"/>
      <w:pPr>
        <w:ind w:left="3741" w:hanging="360"/>
      </w:pPr>
    </w:lvl>
    <w:lvl w:ilvl="5" w:tplc="0427001B" w:tentative="1">
      <w:start w:val="1"/>
      <w:numFmt w:val="lowerRoman"/>
      <w:lvlText w:val="%6."/>
      <w:lvlJc w:val="right"/>
      <w:pPr>
        <w:ind w:left="4461" w:hanging="180"/>
      </w:pPr>
    </w:lvl>
    <w:lvl w:ilvl="6" w:tplc="0427000F" w:tentative="1">
      <w:start w:val="1"/>
      <w:numFmt w:val="decimal"/>
      <w:lvlText w:val="%7."/>
      <w:lvlJc w:val="left"/>
      <w:pPr>
        <w:ind w:left="5181" w:hanging="360"/>
      </w:pPr>
    </w:lvl>
    <w:lvl w:ilvl="7" w:tplc="04270019" w:tentative="1">
      <w:start w:val="1"/>
      <w:numFmt w:val="lowerLetter"/>
      <w:lvlText w:val="%8."/>
      <w:lvlJc w:val="left"/>
      <w:pPr>
        <w:ind w:left="5901" w:hanging="360"/>
      </w:pPr>
    </w:lvl>
    <w:lvl w:ilvl="8" w:tplc="0427001B" w:tentative="1">
      <w:start w:val="1"/>
      <w:numFmt w:val="lowerRoman"/>
      <w:lvlText w:val="%9."/>
      <w:lvlJc w:val="right"/>
      <w:pPr>
        <w:ind w:left="6621" w:hanging="180"/>
      </w:pPr>
    </w:lvl>
  </w:abstractNum>
  <w:abstractNum w:abstractNumId="6" w15:restartNumberingAfterBreak="0">
    <w:nsid w:val="299E4917"/>
    <w:multiLevelType w:val="hybridMultilevel"/>
    <w:tmpl w:val="8C589998"/>
    <w:lvl w:ilvl="0" w:tplc="04090001">
      <w:start w:val="1"/>
      <w:numFmt w:val="bullet"/>
      <w:lvlText w:val=""/>
      <w:lvlJc w:val="left"/>
      <w:pPr>
        <w:ind w:left="1346" w:hanging="360"/>
      </w:pPr>
      <w:rPr>
        <w:rFonts w:ascii="Symbol" w:hAnsi="Symbol" w:hint="default"/>
      </w:rPr>
    </w:lvl>
    <w:lvl w:ilvl="1" w:tplc="04090003" w:tentative="1">
      <w:start w:val="1"/>
      <w:numFmt w:val="bullet"/>
      <w:lvlText w:val="o"/>
      <w:lvlJc w:val="left"/>
      <w:pPr>
        <w:ind w:left="2066" w:hanging="360"/>
      </w:pPr>
      <w:rPr>
        <w:rFonts w:ascii="Courier New" w:hAnsi="Courier New" w:cs="Courier New" w:hint="default"/>
      </w:rPr>
    </w:lvl>
    <w:lvl w:ilvl="2" w:tplc="04090005" w:tentative="1">
      <w:start w:val="1"/>
      <w:numFmt w:val="bullet"/>
      <w:lvlText w:val=""/>
      <w:lvlJc w:val="left"/>
      <w:pPr>
        <w:ind w:left="2786" w:hanging="360"/>
      </w:pPr>
      <w:rPr>
        <w:rFonts w:ascii="Wingdings" w:hAnsi="Wingdings" w:hint="default"/>
      </w:rPr>
    </w:lvl>
    <w:lvl w:ilvl="3" w:tplc="04090001" w:tentative="1">
      <w:start w:val="1"/>
      <w:numFmt w:val="bullet"/>
      <w:lvlText w:val=""/>
      <w:lvlJc w:val="left"/>
      <w:pPr>
        <w:ind w:left="3506" w:hanging="360"/>
      </w:pPr>
      <w:rPr>
        <w:rFonts w:ascii="Symbol" w:hAnsi="Symbol" w:hint="default"/>
      </w:rPr>
    </w:lvl>
    <w:lvl w:ilvl="4" w:tplc="04090003" w:tentative="1">
      <w:start w:val="1"/>
      <w:numFmt w:val="bullet"/>
      <w:lvlText w:val="o"/>
      <w:lvlJc w:val="left"/>
      <w:pPr>
        <w:ind w:left="4226" w:hanging="360"/>
      </w:pPr>
      <w:rPr>
        <w:rFonts w:ascii="Courier New" w:hAnsi="Courier New" w:cs="Courier New" w:hint="default"/>
      </w:rPr>
    </w:lvl>
    <w:lvl w:ilvl="5" w:tplc="04090005" w:tentative="1">
      <w:start w:val="1"/>
      <w:numFmt w:val="bullet"/>
      <w:lvlText w:val=""/>
      <w:lvlJc w:val="left"/>
      <w:pPr>
        <w:ind w:left="4946" w:hanging="360"/>
      </w:pPr>
      <w:rPr>
        <w:rFonts w:ascii="Wingdings" w:hAnsi="Wingdings" w:hint="default"/>
      </w:rPr>
    </w:lvl>
    <w:lvl w:ilvl="6" w:tplc="04090001" w:tentative="1">
      <w:start w:val="1"/>
      <w:numFmt w:val="bullet"/>
      <w:lvlText w:val=""/>
      <w:lvlJc w:val="left"/>
      <w:pPr>
        <w:ind w:left="5666" w:hanging="360"/>
      </w:pPr>
      <w:rPr>
        <w:rFonts w:ascii="Symbol" w:hAnsi="Symbol" w:hint="default"/>
      </w:rPr>
    </w:lvl>
    <w:lvl w:ilvl="7" w:tplc="04090003" w:tentative="1">
      <w:start w:val="1"/>
      <w:numFmt w:val="bullet"/>
      <w:lvlText w:val="o"/>
      <w:lvlJc w:val="left"/>
      <w:pPr>
        <w:ind w:left="6386" w:hanging="360"/>
      </w:pPr>
      <w:rPr>
        <w:rFonts w:ascii="Courier New" w:hAnsi="Courier New" w:cs="Courier New" w:hint="default"/>
      </w:rPr>
    </w:lvl>
    <w:lvl w:ilvl="8" w:tplc="04090005" w:tentative="1">
      <w:start w:val="1"/>
      <w:numFmt w:val="bullet"/>
      <w:lvlText w:val=""/>
      <w:lvlJc w:val="left"/>
      <w:pPr>
        <w:ind w:left="7106" w:hanging="360"/>
      </w:pPr>
      <w:rPr>
        <w:rFonts w:ascii="Wingdings" w:hAnsi="Wingdings" w:hint="default"/>
      </w:rPr>
    </w:lvl>
  </w:abstractNum>
  <w:abstractNum w:abstractNumId="7" w15:restartNumberingAfterBreak="0">
    <w:nsid w:val="3975004F"/>
    <w:multiLevelType w:val="hybridMultilevel"/>
    <w:tmpl w:val="13E4607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 w15:restartNumberingAfterBreak="0">
    <w:nsid w:val="3BCC4222"/>
    <w:multiLevelType w:val="multilevel"/>
    <w:tmpl w:val="C9C6278E"/>
    <w:lvl w:ilvl="0">
      <w:start w:val="2"/>
      <w:numFmt w:val="decimal"/>
      <w:lvlText w:val="%1."/>
      <w:lvlJc w:val="left"/>
      <w:pPr>
        <w:ind w:left="360" w:hanging="360"/>
      </w:pPr>
      <w:rPr>
        <w:rFonts w:eastAsia="Arial Unicode MS" w:hint="default"/>
      </w:rPr>
    </w:lvl>
    <w:lvl w:ilvl="1">
      <w:start w:val="7"/>
      <w:numFmt w:val="decimal"/>
      <w:lvlText w:val="%1.%2."/>
      <w:lvlJc w:val="left"/>
      <w:pPr>
        <w:ind w:left="720" w:hanging="360"/>
      </w:pPr>
      <w:rPr>
        <w:rFonts w:eastAsia="Arial Unicode MS" w:hint="default"/>
      </w:rPr>
    </w:lvl>
    <w:lvl w:ilvl="2">
      <w:start w:val="1"/>
      <w:numFmt w:val="decimal"/>
      <w:lvlText w:val="%1.%2.%3."/>
      <w:lvlJc w:val="left"/>
      <w:pPr>
        <w:ind w:left="1440" w:hanging="720"/>
      </w:pPr>
      <w:rPr>
        <w:rFonts w:eastAsia="Arial Unicode MS" w:hint="default"/>
      </w:rPr>
    </w:lvl>
    <w:lvl w:ilvl="3">
      <w:start w:val="1"/>
      <w:numFmt w:val="decimal"/>
      <w:lvlText w:val="%1.%2.%3.%4."/>
      <w:lvlJc w:val="left"/>
      <w:pPr>
        <w:ind w:left="1800" w:hanging="720"/>
      </w:pPr>
      <w:rPr>
        <w:rFonts w:eastAsia="Arial Unicode MS" w:hint="default"/>
      </w:rPr>
    </w:lvl>
    <w:lvl w:ilvl="4">
      <w:start w:val="1"/>
      <w:numFmt w:val="decimal"/>
      <w:lvlText w:val="%1.%2.%3.%4.%5."/>
      <w:lvlJc w:val="left"/>
      <w:pPr>
        <w:ind w:left="2520" w:hanging="1080"/>
      </w:pPr>
      <w:rPr>
        <w:rFonts w:eastAsia="Arial Unicode MS" w:hint="default"/>
      </w:rPr>
    </w:lvl>
    <w:lvl w:ilvl="5">
      <w:start w:val="1"/>
      <w:numFmt w:val="decimal"/>
      <w:lvlText w:val="%1.%2.%3.%4.%5.%6."/>
      <w:lvlJc w:val="left"/>
      <w:pPr>
        <w:ind w:left="2880" w:hanging="1080"/>
      </w:pPr>
      <w:rPr>
        <w:rFonts w:eastAsia="Arial Unicode MS" w:hint="default"/>
      </w:rPr>
    </w:lvl>
    <w:lvl w:ilvl="6">
      <w:start w:val="1"/>
      <w:numFmt w:val="decimal"/>
      <w:lvlText w:val="%1.%2.%3.%4.%5.%6.%7."/>
      <w:lvlJc w:val="left"/>
      <w:pPr>
        <w:ind w:left="3600" w:hanging="1440"/>
      </w:pPr>
      <w:rPr>
        <w:rFonts w:eastAsia="Arial Unicode MS" w:hint="default"/>
      </w:rPr>
    </w:lvl>
    <w:lvl w:ilvl="7">
      <w:start w:val="1"/>
      <w:numFmt w:val="decimal"/>
      <w:lvlText w:val="%1.%2.%3.%4.%5.%6.%7.%8."/>
      <w:lvlJc w:val="left"/>
      <w:pPr>
        <w:ind w:left="3960" w:hanging="1440"/>
      </w:pPr>
      <w:rPr>
        <w:rFonts w:eastAsia="Arial Unicode MS" w:hint="default"/>
      </w:rPr>
    </w:lvl>
    <w:lvl w:ilvl="8">
      <w:start w:val="1"/>
      <w:numFmt w:val="decimal"/>
      <w:lvlText w:val="%1.%2.%3.%4.%5.%6.%7.%8.%9."/>
      <w:lvlJc w:val="left"/>
      <w:pPr>
        <w:ind w:left="4680" w:hanging="1800"/>
      </w:pPr>
      <w:rPr>
        <w:rFonts w:eastAsia="Arial Unicode MS" w:hint="default"/>
      </w:rPr>
    </w:lvl>
  </w:abstractNum>
  <w:abstractNum w:abstractNumId="9" w15:restartNumberingAfterBreak="0">
    <w:nsid w:val="41953EAB"/>
    <w:multiLevelType w:val="hybridMultilevel"/>
    <w:tmpl w:val="D0F01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9B0191"/>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25F44CC"/>
    <w:multiLevelType w:val="hybridMultilevel"/>
    <w:tmpl w:val="0EEE1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C16F8D"/>
    <w:multiLevelType w:val="hybridMultilevel"/>
    <w:tmpl w:val="A34C090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3" w15:restartNumberingAfterBreak="0">
    <w:nsid w:val="59B83C1B"/>
    <w:multiLevelType w:val="multilevel"/>
    <w:tmpl w:val="5F3843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14" w15:restartNumberingAfterBreak="0">
    <w:nsid w:val="5A0D73F3"/>
    <w:multiLevelType w:val="hybridMultilevel"/>
    <w:tmpl w:val="CA9A2AC8"/>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7712B93"/>
    <w:multiLevelType w:val="hybridMultilevel"/>
    <w:tmpl w:val="B2D88A5C"/>
    <w:lvl w:ilvl="0" w:tplc="0BA05A5A">
      <w:start w:val="199"/>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AB27E1E"/>
    <w:multiLevelType w:val="hybridMultilevel"/>
    <w:tmpl w:val="3D568A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2266018"/>
    <w:multiLevelType w:val="hybridMultilevel"/>
    <w:tmpl w:val="AA9C98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823337A"/>
    <w:multiLevelType w:val="hybridMultilevel"/>
    <w:tmpl w:val="05B2F4F0"/>
    <w:lvl w:ilvl="0" w:tplc="7B748F7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07399030">
    <w:abstractNumId w:val="9"/>
  </w:num>
  <w:num w:numId="2" w16cid:durableId="1745375349">
    <w:abstractNumId w:val="2"/>
  </w:num>
  <w:num w:numId="3" w16cid:durableId="1775049621">
    <w:abstractNumId w:val="13"/>
  </w:num>
  <w:num w:numId="4" w16cid:durableId="1002663654">
    <w:abstractNumId w:val="10"/>
  </w:num>
  <w:num w:numId="5" w16cid:durableId="586959746">
    <w:abstractNumId w:val="8"/>
  </w:num>
  <w:num w:numId="6" w16cid:durableId="260724086">
    <w:abstractNumId w:val="7"/>
  </w:num>
  <w:num w:numId="7" w16cid:durableId="399788735">
    <w:abstractNumId w:val="4"/>
  </w:num>
  <w:num w:numId="8" w16cid:durableId="1631476863">
    <w:abstractNumId w:val="17"/>
  </w:num>
  <w:num w:numId="9" w16cid:durableId="1837376093">
    <w:abstractNumId w:val="0"/>
  </w:num>
  <w:num w:numId="10" w16cid:durableId="1852135913">
    <w:abstractNumId w:val="14"/>
  </w:num>
  <w:num w:numId="11" w16cid:durableId="1439913399">
    <w:abstractNumId w:val="16"/>
  </w:num>
  <w:num w:numId="12" w16cid:durableId="1836608746">
    <w:abstractNumId w:val="3"/>
  </w:num>
  <w:num w:numId="13" w16cid:durableId="1809589813">
    <w:abstractNumId w:val="5"/>
  </w:num>
  <w:num w:numId="14" w16cid:durableId="1089539499">
    <w:abstractNumId w:val="1"/>
  </w:num>
  <w:num w:numId="15" w16cid:durableId="1434714976">
    <w:abstractNumId w:val="6"/>
  </w:num>
  <w:num w:numId="16" w16cid:durableId="439036044">
    <w:abstractNumId w:val="18"/>
  </w:num>
  <w:num w:numId="17" w16cid:durableId="552733711">
    <w:abstractNumId w:val="12"/>
  </w:num>
  <w:num w:numId="18" w16cid:durableId="1076122763">
    <w:abstractNumId w:val="11"/>
  </w:num>
  <w:num w:numId="19" w16cid:durableId="6581957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0E7"/>
    <w:rsid w:val="000001B0"/>
    <w:rsid w:val="00003F5B"/>
    <w:rsid w:val="000114DD"/>
    <w:rsid w:val="000136F7"/>
    <w:rsid w:val="000203E1"/>
    <w:rsid w:val="0002686C"/>
    <w:rsid w:val="00031D0E"/>
    <w:rsid w:val="000337E6"/>
    <w:rsid w:val="0003402E"/>
    <w:rsid w:val="00034EAE"/>
    <w:rsid w:val="00042924"/>
    <w:rsid w:val="000448C6"/>
    <w:rsid w:val="00052BD8"/>
    <w:rsid w:val="00053975"/>
    <w:rsid w:val="00057A2B"/>
    <w:rsid w:val="000606BE"/>
    <w:rsid w:val="000624FF"/>
    <w:rsid w:val="00063A50"/>
    <w:rsid w:val="000723FF"/>
    <w:rsid w:val="000736B8"/>
    <w:rsid w:val="0008190F"/>
    <w:rsid w:val="00081D9C"/>
    <w:rsid w:val="00082907"/>
    <w:rsid w:val="0008378D"/>
    <w:rsid w:val="000908A5"/>
    <w:rsid w:val="00092805"/>
    <w:rsid w:val="000A50C9"/>
    <w:rsid w:val="000B2B2C"/>
    <w:rsid w:val="000B76AD"/>
    <w:rsid w:val="000C454C"/>
    <w:rsid w:val="000D1C93"/>
    <w:rsid w:val="000D5038"/>
    <w:rsid w:val="000E29D4"/>
    <w:rsid w:val="000F3540"/>
    <w:rsid w:val="00100491"/>
    <w:rsid w:val="0010365E"/>
    <w:rsid w:val="00104E2E"/>
    <w:rsid w:val="00107287"/>
    <w:rsid w:val="00115C0C"/>
    <w:rsid w:val="00116BE7"/>
    <w:rsid w:val="00117194"/>
    <w:rsid w:val="00117406"/>
    <w:rsid w:val="00121626"/>
    <w:rsid w:val="00121EF0"/>
    <w:rsid w:val="00124A9E"/>
    <w:rsid w:val="00130703"/>
    <w:rsid w:val="0013153F"/>
    <w:rsid w:val="001408B8"/>
    <w:rsid w:val="001466FE"/>
    <w:rsid w:val="001517E2"/>
    <w:rsid w:val="001521D9"/>
    <w:rsid w:val="001554E2"/>
    <w:rsid w:val="00164146"/>
    <w:rsid w:val="00164D64"/>
    <w:rsid w:val="0017369C"/>
    <w:rsid w:val="00175D57"/>
    <w:rsid w:val="00180C39"/>
    <w:rsid w:val="00180D96"/>
    <w:rsid w:val="00183DE1"/>
    <w:rsid w:val="00183F54"/>
    <w:rsid w:val="00184BD3"/>
    <w:rsid w:val="001921F3"/>
    <w:rsid w:val="001A0CAA"/>
    <w:rsid w:val="001A6D40"/>
    <w:rsid w:val="001B3C5B"/>
    <w:rsid w:val="001C2FC8"/>
    <w:rsid w:val="001C6353"/>
    <w:rsid w:val="001D5B91"/>
    <w:rsid w:val="001D746F"/>
    <w:rsid w:val="001E0B2D"/>
    <w:rsid w:val="001E4BBB"/>
    <w:rsid w:val="001E6304"/>
    <w:rsid w:val="001F115E"/>
    <w:rsid w:val="0020381E"/>
    <w:rsid w:val="00213471"/>
    <w:rsid w:val="00215906"/>
    <w:rsid w:val="00241CD8"/>
    <w:rsid w:val="00244B09"/>
    <w:rsid w:val="002519CB"/>
    <w:rsid w:val="0025697F"/>
    <w:rsid w:val="00260258"/>
    <w:rsid w:val="0026588E"/>
    <w:rsid w:val="00272428"/>
    <w:rsid w:val="00272948"/>
    <w:rsid w:val="00283E59"/>
    <w:rsid w:val="00284B0F"/>
    <w:rsid w:val="00292392"/>
    <w:rsid w:val="002946C7"/>
    <w:rsid w:val="002A3BE2"/>
    <w:rsid w:val="002B3CC1"/>
    <w:rsid w:val="002B5657"/>
    <w:rsid w:val="002C0686"/>
    <w:rsid w:val="002C09E0"/>
    <w:rsid w:val="002C100E"/>
    <w:rsid w:val="002C1BB1"/>
    <w:rsid w:val="002C2786"/>
    <w:rsid w:val="002C3A10"/>
    <w:rsid w:val="002C4A90"/>
    <w:rsid w:val="002C4ED5"/>
    <w:rsid w:val="002C54C9"/>
    <w:rsid w:val="002C7BF9"/>
    <w:rsid w:val="002D02EF"/>
    <w:rsid w:val="002E0702"/>
    <w:rsid w:val="002E1A83"/>
    <w:rsid w:val="002E57AD"/>
    <w:rsid w:val="002E6F80"/>
    <w:rsid w:val="002F0E4F"/>
    <w:rsid w:val="002F1053"/>
    <w:rsid w:val="00314816"/>
    <w:rsid w:val="00317B0E"/>
    <w:rsid w:val="00333277"/>
    <w:rsid w:val="00334F18"/>
    <w:rsid w:val="00336238"/>
    <w:rsid w:val="00347FAA"/>
    <w:rsid w:val="0035172D"/>
    <w:rsid w:val="0036187D"/>
    <w:rsid w:val="00367EDB"/>
    <w:rsid w:val="003705F0"/>
    <w:rsid w:val="00374608"/>
    <w:rsid w:val="00381024"/>
    <w:rsid w:val="0038571D"/>
    <w:rsid w:val="00386307"/>
    <w:rsid w:val="003874DE"/>
    <w:rsid w:val="00390896"/>
    <w:rsid w:val="00393E9F"/>
    <w:rsid w:val="0039696E"/>
    <w:rsid w:val="003B211A"/>
    <w:rsid w:val="003C141F"/>
    <w:rsid w:val="003C6B0E"/>
    <w:rsid w:val="003C7257"/>
    <w:rsid w:val="003C74F5"/>
    <w:rsid w:val="003C7E35"/>
    <w:rsid w:val="003D1E99"/>
    <w:rsid w:val="003D6208"/>
    <w:rsid w:val="003E1BDF"/>
    <w:rsid w:val="00404E8A"/>
    <w:rsid w:val="0040622F"/>
    <w:rsid w:val="00413F24"/>
    <w:rsid w:val="00422853"/>
    <w:rsid w:val="00423160"/>
    <w:rsid w:val="00437623"/>
    <w:rsid w:val="0044277F"/>
    <w:rsid w:val="00444A2B"/>
    <w:rsid w:val="00453862"/>
    <w:rsid w:val="0045469B"/>
    <w:rsid w:val="00461338"/>
    <w:rsid w:val="004677DB"/>
    <w:rsid w:val="0047248D"/>
    <w:rsid w:val="00476256"/>
    <w:rsid w:val="0048630F"/>
    <w:rsid w:val="004947A1"/>
    <w:rsid w:val="0049482A"/>
    <w:rsid w:val="004979D3"/>
    <w:rsid w:val="004A00E7"/>
    <w:rsid w:val="004A12D0"/>
    <w:rsid w:val="004A3A61"/>
    <w:rsid w:val="004B59BA"/>
    <w:rsid w:val="004B5A03"/>
    <w:rsid w:val="004C263A"/>
    <w:rsid w:val="004C6221"/>
    <w:rsid w:val="004D47D1"/>
    <w:rsid w:val="004D48A6"/>
    <w:rsid w:val="004D70B6"/>
    <w:rsid w:val="004D7B8F"/>
    <w:rsid w:val="004E241F"/>
    <w:rsid w:val="004E6458"/>
    <w:rsid w:val="004E6E7D"/>
    <w:rsid w:val="004F1AAC"/>
    <w:rsid w:val="004F1AE2"/>
    <w:rsid w:val="004F34F0"/>
    <w:rsid w:val="004F3B2B"/>
    <w:rsid w:val="004F59E4"/>
    <w:rsid w:val="004F6050"/>
    <w:rsid w:val="005005EF"/>
    <w:rsid w:val="005123C2"/>
    <w:rsid w:val="0052144B"/>
    <w:rsid w:val="00524066"/>
    <w:rsid w:val="00526A0F"/>
    <w:rsid w:val="00534E11"/>
    <w:rsid w:val="005378D8"/>
    <w:rsid w:val="005400D9"/>
    <w:rsid w:val="005401A9"/>
    <w:rsid w:val="005476A4"/>
    <w:rsid w:val="0055019B"/>
    <w:rsid w:val="00556E63"/>
    <w:rsid w:val="005601A4"/>
    <w:rsid w:val="00566DBB"/>
    <w:rsid w:val="00567B14"/>
    <w:rsid w:val="005767DB"/>
    <w:rsid w:val="005815E6"/>
    <w:rsid w:val="0058712F"/>
    <w:rsid w:val="005976CE"/>
    <w:rsid w:val="005A23D4"/>
    <w:rsid w:val="005A2D1E"/>
    <w:rsid w:val="005A4698"/>
    <w:rsid w:val="005B3756"/>
    <w:rsid w:val="005C493F"/>
    <w:rsid w:val="005C6BF7"/>
    <w:rsid w:val="005C71BF"/>
    <w:rsid w:val="005D002C"/>
    <w:rsid w:val="005D30E1"/>
    <w:rsid w:val="005D6555"/>
    <w:rsid w:val="005D7BDF"/>
    <w:rsid w:val="005E4870"/>
    <w:rsid w:val="005F71D9"/>
    <w:rsid w:val="005F7602"/>
    <w:rsid w:val="006062BE"/>
    <w:rsid w:val="00610D85"/>
    <w:rsid w:val="00613143"/>
    <w:rsid w:val="00613501"/>
    <w:rsid w:val="0061611B"/>
    <w:rsid w:val="006166A8"/>
    <w:rsid w:val="006174A1"/>
    <w:rsid w:val="00621D6C"/>
    <w:rsid w:val="00633B49"/>
    <w:rsid w:val="0064297F"/>
    <w:rsid w:val="00645102"/>
    <w:rsid w:val="00645CC5"/>
    <w:rsid w:val="00646CF3"/>
    <w:rsid w:val="00653D11"/>
    <w:rsid w:val="00662983"/>
    <w:rsid w:val="006674C0"/>
    <w:rsid w:val="006834D3"/>
    <w:rsid w:val="00692625"/>
    <w:rsid w:val="00695CD3"/>
    <w:rsid w:val="006A38B6"/>
    <w:rsid w:val="006B1987"/>
    <w:rsid w:val="006B5B71"/>
    <w:rsid w:val="006B5D3E"/>
    <w:rsid w:val="006B6CB0"/>
    <w:rsid w:val="006C2B64"/>
    <w:rsid w:val="006C5481"/>
    <w:rsid w:val="006D1BF3"/>
    <w:rsid w:val="006D4C85"/>
    <w:rsid w:val="006D66AC"/>
    <w:rsid w:val="006E1DF9"/>
    <w:rsid w:val="006E33F6"/>
    <w:rsid w:val="006F1251"/>
    <w:rsid w:val="006F1C23"/>
    <w:rsid w:val="006F5616"/>
    <w:rsid w:val="00702C18"/>
    <w:rsid w:val="00703166"/>
    <w:rsid w:val="007111C4"/>
    <w:rsid w:val="007127F3"/>
    <w:rsid w:val="007301CF"/>
    <w:rsid w:val="007316FB"/>
    <w:rsid w:val="00737E2D"/>
    <w:rsid w:val="007424D5"/>
    <w:rsid w:val="00745C63"/>
    <w:rsid w:val="00750A88"/>
    <w:rsid w:val="007523DD"/>
    <w:rsid w:val="00757B7E"/>
    <w:rsid w:val="007656B2"/>
    <w:rsid w:val="0077016F"/>
    <w:rsid w:val="007713AD"/>
    <w:rsid w:val="00772F40"/>
    <w:rsid w:val="00795DC5"/>
    <w:rsid w:val="00797153"/>
    <w:rsid w:val="007A21F7"/>
    <w:rsid w:val="007A2B68"/>
    <w:rsid w:val="007B0DDA"/>
    <w:rsid w:val="007D3347"/>
    <w:rsid w:val="007D654E"/>
    <w:rsid w:val="007E5466"/>
    <w:rsid w:val="007F1949"/>
    <w:rsid w:val="007F2592"/>
    <w:rsid w:val="007F6C04"/>
    <w:rsid w:val="00800A08"/>
    <w:rsid w:val="00803306"/>
    <w:rsid w:val="00817A84"/>
    <w:rsid w:val="008225A4"/>
    <w:rsid w:val="00824B92"/>
    <w:rsid w:val="00826D5E"/>
    <w:rsid w:val="00832013"/>
    <w:rsid w:val="00832DB7"/>
    <w:rsid w:val="00834732"/>
    <w:rsid w:val="00834C48"/>
    <w:rsid w:val="00844936"/>
    <w:rsid w:val="00846583"/>
    <w:rsid w:val="0085200C"/>
    <w:rsid w:val="00853487"/>
    <w:rsid w:val="00857C52"/>
    <w:rsid w:val="00860D5F"/>
    <w:rsid w:val="00880A44"/>
    <w:rsid w:val="0088345E"/>
    <w:rsid w:val="0088656F"/>
    <w:rsid w:val="008875BC"/>
    <w:rsid w:val="00891EF6"/>
    <w:rsid w:val="00892FF4"/>
    <w:rsid w:val="0089345A"/>
    <w:rsid w:val="008A0303"/>
    <w:rsid w:val="008A5FDD"/>
    <w:rsid w:val="008C3947"/>
    <w:rsid w:val="008E473B"/>
    <w:rsid w:val="008E51A6"/>
    <w:rsid w:val="008E7329"/>
    <w:rsid w:val="008F2ED5"/>
    <w:rsid w:val="0090044C"/>
    <w:rsid w:val="0092297E"/>
    <w:rsid w:val="00923292"/>
    <w:rsid w:val="00923651"/>
    <w:rsid w:val="00924DF7"/>
    <w:rsid w:val="00927B56"/>
    <w:rsid w:val="009341BF"/>
    <w:rsid w:val="00937907"/>
    <w:rsid w:val="00941739"/>
    <w:rsid w:val="009457CB"/>
    <w:rsid w:val="00951573"/>
    <w:rsid w:val="00963003"/>
    <w:rsid w:val="00965919"/>
    <w:rsid w:val="00966EEF"/>
    <w:rsid w:val="00971B28"/>
    <w:rsid w:val="00983471"/>
    <w:rsid w:val="009909AB"/>
    <w:rsid w:val="009933F7"/>
    <w:rsid w:val="009B2125"/>
    <w:rsid w:val="009B37DB"/>
    <w:rsid w:val="009C7A8C"/>
    <w:rsid w:val="009D23F9"/>
    <w:rsid w:val="009D4FA8"/>
    <w:rsid w:val="009E2F39"/>
    <w:rsid w:val="009E44AE"/>
    <w:rsid w:val="009E6CD6"/>
    <w:rsid w:val="009F4D66"/>
    <w:rsid w:val="00A00C3C"/>
    <w:rsid w:val="00A01091"/>
    <w:rsid w:val="00A042B9"/>
    <w:rsid w:val="00A06DBB"/>
    <w:rsid w:val="00A22ADF"/>
    <w:rsid w:val="00A2310D"/>
    <w:rsid w:val="00A254A2"/>
    <w:rsid w:val="00A31E86"/>
    <w:rsid w:val="00A54D87"/>
    <w:rsid w:val="00A5553C"/>
    <w:rsid w:val="00A701C9"/>
    <w:rsid w:val="00A81785"/>
    <w:rsid w:val="00A84803"/>
    <w:rsid w:val="00A84C51"/>
    <w:rsid w:val="00A86F2B"/>
    <w:rsid w:val="00A91366"/>
    <w:rsid w:val="00A92F91"/>
    <w:rsid w:val="00A93AA6"/>
    <w:rsid w:val="00AA4E48"/>
    <w:rsid w:val="00AA6202"/>
    <w:rsid w:val="00AA7B57"/>
    <w:rsid w:val="00AB2806"/>
    <w:rsid w:val="00AB2D54"/>
    <w:rsid w:val="00AC26FC"/>
    <w:rsid w:val="00AC4A99"/>
    <w:rsid w:val="00AC5129"/>
    <w:rsid w:val="00AC64D2"/>
    <w:rsid w:val="00AC6DCF"/>
    <w:rsid w:val="00AD02E7"/>
    <w:rsid w:val="00AD2003"/>
    <w:rsid w:val="00AE0FE8"/>
    <w:rsid w:val="00AF60D5"/>
    <w:rsid w:val="00B00959"/>
    <w:rsid w:val="00B04415"/>
    <w:rsid w:val="00B06509"/>
    <w:rsid w:val="00B11D60"/>
    <w:rsid w:val="00B13D65"/>
    <w:rsid w:val="00B21805"/>
    <w:rsid w:val="00B3072E"/>
    <w:rsid w:val="00B36E15"/>
    <w:rsid w:val="00B37245"/>
    <w:rsid w:val="00B4017A"/>
    <w:rsid w:val="00B4468D"/>
    <w:rsid w:val="00B71C72"/>
    <w:rsid w:val="00B71F04"/>
    <w:rsid w:val="00B74A62"/>
    <w:rsid w:val="00B811A4"/>
    <w:rsid w:val="00B81E92"/>
    <w:rsid w:val="00B908D7"/>
    <w:rsid w:val="00B935E8"/>
    <w:rsid w:val="00B93B30"/>
    <w:rsid w:val="00B94CB5"/>
    <w:rsid w:val="00BA0DD9"/>
    <w:rsid w:val="00BA14CB"/>
    <w:rsid w:val="00BA5DBC"/>
    <w:rsid w:val="00BA6584"/>
    <w:rsid w:val="00BB6312"/>
    <w:rsid w:val="00BC39C2"/>
    <w:rsid w:val="00BC4D06"/>
    <w:rsid w:val="00BD05E1"/>
    <w:rsid w:val="00BD585E"/>
    <w:rsid w:val="00BD6919"/>
    <w:rsid w:val="00BE1836"/>
    <w:rsid w:val="00BE1EA7"/>
    <w:rsid w:val="00BE7489"/>
    <w:rsid w:val="00BF2E0D"/>
    <w:rsid w:val="00BF3927"/>
    <w:rsid w:val="00BF3F8B"/>
    <w:rsid w:val="00BF76DA"/>
    <w:rsid w:val="00C00CDB"/>
    <w:rsid w:val="00C07C7B"/>
    <w:rsid w:val="00C16245"/>
    <w:rsid w:val="00C22DC5"/>
    <w:rsid w:val="00C24479"/>
    <w:rsid w:val="00C273F2"/>
    <w:rsid w:val="00C37B53"/>
    <w:rsid w:val="00C434EB"/>
    <w:rsid w:val="00C517D2"/>
    <w:rsid w:val="00C5772E"/>
    <w:rsid w:val="00C62B36"/>
    <w:rsid w:val="00C7012C"/>
    <w:rsid w:val="00C712EA"/>
    <w:rsid w:val="00C9164B"/>
    <w:rsid w:val="00C9728E"/>
    <w:rsid w:val="00CA217D"/>
    <w:rsid w:val="00CA3131"/>
    <w:rsid w:val="00CB7AD6"/>
    <w:rsid w:val="00CC09D4"/>
    <w:rsid w:val="00CC4F5F"/>
    <w:rsid w:val="00CC668D"/>
    <w:rsid w:val="00CC7832"/>
    <w:rsid w:val="00CD488E"/>
    <w:rsid w:val="00CE4B0B"/>
    <w:rsid w:val="00CF0C1C"/>
    <w:rsid w:val="00CF27FD"/>
    <w:rsid w:val="00CF5F12"/>
    <w:rsid w:val="00D00D8F"/>
    <w:rsid w:val="00D12869"/>
    <w:rsid w:val="00D14512"/>
    <w:rsid w:val="00D14DBA"/>
    <w:rsid w:val="00D15ED6"/>
    <w:rsid w:val="00D21F3A"/>
    <w:rsid w:val="00D23808"/>
    <w:rsid w:val="00D3016A"/>
    <w:rsid w:val="00D417D2"/>
    <w:rsid w:val="00D42960"/>
    <w:rsid w:val="00D43BD7"/>
    <w:rsid w:val="00D4485B"/>
    <w:rsid w:val="00D458B7"/>
    <w:rsid w:val="00D46CCD"/>
    <w:rsid w:val="00D4708D"/>
    <w:rsid w:val="00D4744C"/>
    <w:rsid w:val="00D51046"/>
    <w:rsid w:val="00D521DE"/>
    <w:rsid w:val="00D5470B"/>
    <w:rsid w:val="00D63068"/>
    <w:rsid w:val="00D6498C"/>
    <w:rsid w:val="00D67BAF"/>
    <w:rsid w:val="00D76A70"/>
    <w:rsid w:val="00D80989"/>
    <w:rsid w:val="00D83182"/>
    <w:rsid w:val="00D8521E"/>
    <w:rsid w:val="00D9291C"/>
    <w:rsid w:val="00D93A97"/>
    <w:rsid w:val="00DA5602"/>
    <w:rsid w:val="00DB1F64"/>
    <w:rsid w:val="00DC261A"/>
    <w:rsid w:val="00DC2F53"/>
    <w:rsid w:val="00DC5BAC"/>
    <w:rsid w:val="00DC6816"/>
    <w:rsid w:val="00DC76C2"/>
    <w:rsid w:val="00DD1CF2"/>
    <w:rsid w:val="00DE4484"/>
    <w:rsid w:val="00DF41B7"/>
    <w:rsid w:val="00DF4A4A"/>
    <w:rsid w:val="00DF583C"/>
    <w:rsid w:val="00E03C3F"/>
    <w:rsid w:val="00E06FD7"/>
    <w:rsid w:val="00E07417"/>
    <w:rsid w:val="00E24D45"/>
    <w:rsid w:val="00E33DB8"/>
    <w:rsid w:val="00E33EFF"/>
    <w:rsid w:val="00E34387"/>
    <w:rsid w:val="00E348BA"/>
    <w:rsid w:val="00E369FE"/>
    <w:rsid w:val="00E37C6F"/>
    <w:rsid w:val="00E475F8"/>
    <w:rsid w:val="00E5102E"/>
    <w:rsid w:val="00E5721C"/>
    <w:rsid w:val="00E619C6"/>
    <w:rsid w:val="00E70CED"/>
    <w:rsid w:val="00E745A1"/>
    <w:rsid w:val="00E76118"/>
    <w:rsid w:val="00E81529"/>
    <w:rsid w:val="00E83A13"/>
    <w:rsid w:val="00EB1151"/>
    <w:rsid w:val="00EB6FC5"/>
    <w:rsid w:val="00EC2356"/>
    <w:rsid w:val="00EC2582"/>
    <w:rsid w:val="00EC337C"/>
    <w:rsid w:val="00EC53F6"/>
    <w:rsid w:val="00ED0CFF"/>
    <w:rsid w:val="00ED31D2"/>
    <w:rsid w:val="00EE0EAC"/>
    <w:rsid w:val="00EE3322"/>
    <w:rsid w:val="00EE33CB"/>
    <w:rsid w:val="00F0061A"/>
    <w:rsid w:val="00F02834"/>
    <w:rsid w:val="00F04EEB"/>
    <w:rsid w:val="00F05467"/>
    <w:rsid w:val="00F055D2"/>
    <w:rsid w:val="00F07CD7"/>
    <w:rsid w:val="00F127E9"/>
    <w:rsid w:val="00F14477"/>
    <w:rsid w:val="00F14B5D"/>
    <w:rsid w:val="00F20C8B"/>
    <w:rsid w:val="00F259FC"/>
    <w:rsid w:val="00F313F4"/>
    <w:rsid w:val="00F36972"/>
    <w:rsid w:val="00F42426"/>
    <w:rsid w:val="00F44F01"/>
    <w:rsid w:val="00F456BC"/>
    <w:rsid w:val="00F50666"/>
    <w:rsid w:val="00F65828"/>
    <w:rsid w:val="00F70731"/>
    <w:rsid w:val="00F70C9E"/>
    <w:rsid w:val="00F74A74"/>
    <w:rsid w:val="00F7572C"/>
    <w:rsid w:val="00F82AE2"/>
    <w:rsid w:val="00F8382C"/>
    <w:rsid w:val="00F855D7"/>
    <w:rsid w:val="00F86ED6"/>
    <w:rsid w:val="00F92035"/>
    <w:rsid w:val="00F92748"/>
    <w:rsid w:val="00FA4169"/>
    <w:rsid w:val="00FB0D41"/>
    <w:rsid w:val="00FB2030"/>
    <w:rsid w:val="00FD0E46"/>
    <w:rsid w:val="00FD1060"/>
    <w:rsid w:val="00FD1CF2"/>
    <w:rsid w:val="00FD3EDF"/>
    <w:rsid w:val="00FD793C"/>
    <w:rsid w:val="00FE0FD5"/>
    <w:rsid w:val="00FE20E6"/>
    <w:rsid w:val="00FE3E3B"/>
    <w:rsid w:val="00FE5878"/>
    <w:rsid w:val="00FF4032"/>
    <w:rsid w:val="00FF4A2E"/>
    <w:rsid w:val="00FF6469"/>
    <w:rsid w:val="00FF7E4A"/>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FE6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1529"/>
    <w:rPr>
      <w:sz w:val="24"/>
      <w:szCs w:val="24"/>
      <w:lang w:eastAsia="en-US"/>
    </w:rPr>
  </w:style>
  <w:style w:type="paragraph" w:styleId="Heading1">
    <w:name w:val="heading 1"/>
    <w:basedOn w:val="Normal"/>
    <w:next w:val="Normal"/>
    <w:qFormat/>
    <w:rsid w:val="00A84C51"/>
    <w:pPr>
      <w:keepNext/>
      <w:jc w:val="center"/>
      <w:outlineLvl w:val="0"/>
    </w:pPr>
    <w:rPr>
      <w:b/>
      <w:bCs/>
      <w:caps/>
    </w:rPr>
  </w:style>
  <w:style w:type="paragraph" w:styleId="Heading2">
    <w:name w:val="heading 2"/>
    <w:basedOn w:val="Normal"/>
    <w:next w:val="Normal"/>
    <w:qFormat/>
    <w:rsid w:val="00A84C51"/>
    <w:pPr>
      <w:keepNext/>
      <w:jc w:val="center"/>
      <w:outlineLvl w:val="1"/>
    </w:pPr>
    <w:rPr>
      <w:b/>
      <w:bCs/>
      <w: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84C51"/>
    <w:pPr>
      <w:tabs>
        <w:tab w:val="center" w:pos="4986"/>
        <w:tab w:val="right" w:pos="9972"/>
      </w:tabs>
    </w:pPr>
  </w:style>
  <w:style w:type="paragraph" w:styleId="Footer">
    <w:name w:val="footer"/>
    <w:basedOn w:val="Normal"/>
    <w:link w:val="FooterChar"/>
    <w:rsid w:val="00A84C51"/>
    <w:pPr>
      <w:tabs>
        <w:tab w:val="center" w:pos="4986"/>
        <w:tab w:val="right" w:pos="9972"/>
      </w:tabs>
    </w:pPr>
  </w:style>
  <w:style w:type="character" w:styleId="PageNumber">
    <w:name w:val="page number"/>
    <w:basedOn w:val="DefaultParagraphFont"/>
    <w:rsid w:val="00A84C51"/>
  </w:style>
  <w:style w:type="character" w:styleId="Hyperlink">
    <w:name w:val="Hyperlink"/>
    <w:basedOn w:val="DefaultParagraphFont"/>
    <w:rsid w:val="00A84C51"/>
    <w:rPr>
      <w:color w:val="0000FF"/>
      <w:u w:val="single"/>
    </w:rPr>
  </w:style>
  <w:style w:type="paragraph" w:styleId="BalloonText">
    <w:name w:val="Balloon Text"/>
    <w:basedOn w:val="Normal"/>
    <w:semiHidden/>
    <w:rsid w:val="00EC2356"/>
    <w:rPr>
      <w:rFonts w:ascii="Tahoma" w:hAnsi="Tahoma" w:cs="Tahoma"/>
      <w:sz w:val="16"/>
      <w:szCs w:val="16"/>
    </w:rPr>
  </w:style>
  <w:style w:type="character" w:customStyle="1" w:styleId="FooterChar">
    <w:name w:val="Footer Char"/>
    <w:basedOn w:val="DefaultParagraphFont"/>
    <w:link w:val="Footer"/>
    <w:rsid w:val="00737E2D"/>
    <w:rPr>
      <w:sz w:val="24"/>
      <w:szCs w:val="24"/>
      <w:lang w:eastAsia="en-US"/>
    </w:rPr>
  </w:style>
  <w:style w:type="character" w:customStyle="1" w:styleId="Neapdorotaspaminjimas1">
    <w:name w:val="Neapdorotas paminėjimas1"/>
    <w:basedOn w:val="DefaultParagraphFont"/>
    <w:uiPriority w:val="99"/>
    <w:semiHidden/>
    <w:unhideWhenUsed/>
    <w:rsid w:val="00A31E86"/>
    <w:rPr>
      <w:color w:val="605E5C"/>
      <w:shd w:val="clear" w:color="auto" w:fill="E1DFDD"/>
    </w:rPr>
  </w:style>
  <w:style w:type="character" w:styleId="FollowedHyperlink">
    <w:name w:val="FollowedHyperlink"/>
    <w:basedOn w:val="DefaultParagraphFont"/>
    <w:semiHidden/>
    <w:unhideWhenUsed/>
    <w:rsid w:val="00A31E86"/>
    <w:rPr>
      <w:color w:val="800080" w:themeColor="followedHyperlink"/>
      <w:u w:val="single"/>
    </w:rPr>
  </w:style>
  <w:style w:type="table" w:styleId="TableGrid">
    <w:name w:val="Table Grid"/>
    <w:basedOn w:val="TableNormal"/>
    <w:rsid w:val="00D42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C7012C"/>
    <w:rPr>
      <w:sz w:val="16"/>
      <w:szCs w:val="16"/>
    </w:rPr>
  </w:style>
  <w:style w:type="paragraph" w:styleId="CommentText">
    <w:name w:val="annotation text"/>
    <w:basedOn w:val="Normal"/>
    <w:link w:val="CommentTextChar"/>
    <w:unhideWhenUsed/>
    <w:rsid w:val="00C7012C"/>
    <w:rPr>
      <w:sz w:val="20"/>
      <w:szCs w:val="20"/>
    </w:rPr>
  </w:style>
  <w:style w:type="character" w:customStyle="1" w:styleId="CommentTextChar">
    <w:name w:val="Comment Text Char"/>
    <w:basedOn w:val="DefaultParagraphFont"/>
    <w:link w:val="CommentText"/>
    <w:rsid w:val="00C7012C"/>
    <w:rPr>
      <w:lang w:eastAsia="en-US"/>
    </w:rPr>
  </w:style>
  <w:style w:type="paragraph" w:styleId="CommentSubject">
    <w:name w:val="annotation subject"/>
    <w:basedOn w:val="CommentText"/>
    <w:next w:val="CommentText"/>
    <w:link w:val="CommentSubjectChar"/>
    <w:semiHidden/>
    <w:unhideWhenUsed/>
    <w:rsid w:val="00C7012C"/>
    <w:rPr>
      <w:b/>
      <w:bCs/>
    </w:rPr>
  </w:style>
  <w:style w:type="character" w:customStyle="1" w:styleId="CommentSubjectChar">
    <w:name w:val="Comment Subject Char"/>
    <w:basedOn w:val="CommentTextChar"/>
    <w:link w:val="CommentSubject"/>
    <w:semiHidden/>
    <w:rsid w:val="00C7012C"/>
    <w:rPr>
      <w:b/>
      <w:bCs/>
      <w:lang w:eastAsia="en-US"/>
    </w:rPr>
  </w:style>
  <w:style w:type="paragraph" w:styleId="ListParagraph">
    <w:name w:val="List Paragraph"/>
    <w:aliases w:val="Summary Bullets,Bullet 1,Bullet1,Bullet List,Section 5,List Paragraph CCT minutes,Normal: Bullets,Table Legend,List Table,Bullets Points,BulletPoints,hyperlink,Listenabsatz,Numbered Sub-Section,BulletList 1,Bulletlist1,BulletList1"/>
    <w:basedOn w:val="Normal"/>
    <w:link w:val="ListParagraphChar"/>
    <w:uiPriority w:val="34"/>
    <w:qFormat/>
    <w:rsid w:val="00104E2E"/>
    <w:pPr>
      <w:ind w:left="720"/>
      <w:contextualSpacing/>
    </w:pPr>
  </w:style>
  <w:style w:type="character" w:customStyle="1" w:styleId="Style2">
    <w:name w:val="Style2"/>
    <w:basedOn w:val="DefaultParagraphFont"/>
    <w:uiPriority w:val="1"/>
    <w:rsid w:val="00D6498C"/>
    <w:rPr>
      <w:sz w:val="32"/>
    </w:rPr>
  </w:style>
  <w:style w:type="character" w:styleId="PlaceholderText">
    <w:name w:val="Placeholder Text"/>
    <w:basedOn w:val="DefaultParagraphFont"/>
    <w:uiPriority w:val="99"/>
    <w:rsid w:val="00B13D65"/>
    <w:rPr>
      <w:color w:val="808080"/>
    </w:rPr>
  </w:style>
  <w:style w:type="paragraph" w:styleId="NoSpacing">
    <w:name w:val="No Spacing"/>
    <w:uiPriority w:val="1"/>
    <w:qFormat/>
    <w:rsid w:val="00B13D65"/>
    <w:rPr>
      <w:rFonts w:ascii="Calibri" w:eastAsia="Calibri" w:hAnsi="Calibri"/>
      <w:sz w:val="22"/>
      <w:szCs w:val="22"/>
      <w:lang w:eastAsia="en-US"/>
    </w:rPr>
  </w:style>
  <w:style w:type="table" w:customStyle="1" w:styleId="Lentelstinklelis1">
    <w:name w:val="Lentelės tinklelis1"/>
    <w:basedOn w:val="TableNormal"/>
    <w:next w:val="TableGrid"/>
    <w:rsid w:val="009E44AE"/>
    <w:rPr>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76256"/>
    <w:rPr>
      <w:sz w:val="24"/>
      <w:szCs w:val="24"/>
      <w:lang w:eastAsia="en-US"/>
    </w:rPr>
  </w:style>
  <w:style w:type="character" w:customStyle="1" w:styleId="ListParagraphChar">
    <w:name w:val="List Paragraph Char"/>
    <w:aliases w:val="Summary Bullets Char,Bullet 1 Char,Bullet1 Char,Bullet List Char,Section 5 Char,List Paragraph CCT minutes Char,Normal: Bullets Char,Table Legend Char,List Table Char,Bullets Points Char,BulletPoints Char,hyperlink Char"/>
    <w:basedOn w:val="DefaultParagraphFont"/>
    <w:link w:val="ListParagraph"/>
    <w:uiPriority w:val="34"/>
    <w:qFormat/>
    <w:rsid w:val="00F86ED6"/>
    <w:rPr>
      <w:sz w:val="24"/>
      <w:szCs w:val="24"/>
      <w:lang w:eastAsia="en-US"/>
    </w:rPr>
  </w:style>
  <w:style w:type="character" w:customStyle="1" w:styleId="apple-converted-space">
    <w:name w:val="apple-converted-space"/>
    <w:basedOn w:val="DefaultParagraphFont"/>
    <w:rsid w:val="00D458B7"/>
  </w:style>
  <w:style w:type="character" w:styleId="Strong">
    <w:name w:val="Strong"/>
    <w:basedOn w:val="DefaultParagraphFont"/>
    <w:uiPriority w:val="22"/>
    <w:qFormat/>
    <w:rsid w:val="00D458B7"/>
    <w:rPr>
      <w:b/>
      <w:bCs/>
    </w:rPr>
  </w:style>
  <w:style w:type="paragraph" w:customStyle="1" w:styleId="Tekstas">
    <w:name w:val="Tekstas"/>
    <w:basedOn w:val="Normal"/>
    <w:link w:val="TekstasChar"/>
    <w:qFormat/>
    <w:rsid w:val="00CB7AD6"/>
    <w:pPr>
      <w:spacing w:after="120"/>
      <w:jc w:val="both"/>
    </w:pPr>
    <w:rPr>
      <w:color w:val="000000" w:themeColor="text1"/>
      <w:lang w:val="en-US"/>
    </w:rPr>
  </w:style>
  <w:style w:type="character" w:customStyle="1" w:styleId="TekstasChar">
    <w:name w:val="Tekstas Char"/>
    <w:link w:val="Tekstas"/>
    <w:rsid w:val="00CB7AD6"/>
    <w:rPr>
      <w:color w:val="000000" w:themeColor="text1"/>
      <w:sz w:val="24"/>
      <w:szCs w:val="24"/>
      <w:lang w:val="en-US" w:eastAsia="en-US"/>
    </w:rPr>
  </w:style>
  <w:style w:type="character" w:styleId="HTMLCode">
    <w:name w:val="HTML Code"/>
    <w:basedOn w:val="DefaultParagraphFont"/>
    <w:uiPriority w:val="99"/>
    <w:semiHidden/>
    <w:unhideWhenUsed/>
    <w:rsid w:val="007F6C0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802146">
      <w:bodyDiv w:val="1"/>
      <w:marLeft w:val="0"/>
      <w:marRight w:val="0"/>
      <w:marTop w:val="0"/>
      <w:marBottom w:val="0"/>
      <w:divBdr>
        <w:top w:val="none" w:sz="0" w:space="0" w:color="auto"/>
        <w:left w:val="none" w:sz="0" w:space="0" w:color="auto"/>
        <w:bottom w:val="none" w:sz="0" w:space="0" w:color="auto"/>
        <w:right w:val="none" w:sz="0" w:space="0" w:color="auto"/>
      </w:divBdr>
    </w:div>
    <w:div w:id="1513300798">
      <w:bodyDiv w:val="1"/>
      <w:marLeft w:val="0"/>
      <w:marRight w:val="0"/>
      <w:marTop w:val="0"/>
      <w:marBottom w:val="0"/>
      <w:divBdr>
        <w:top w:val="none" w:sz="0" w:space="0" w:color="auto"/>
        <w:left w:val="none" w:sz="0" w:space="0" w:color="auto"/>
        <w:bottom w:val="none" w:sz="0" w:space="0" w:color="auto"/>
        <w:right w:val="none" w:sz="0" w:space="0" w:color="auto"/>
      </w:divBdr>
    </w:div>
    <w:div w:id="159778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03AA1B603F47D3BD40A45F2A0F7814"/>
        <w:category>
          <w:name w:val="Bendrosios nuostatos"/>
          <w:gallery w:val="placeholder"/>
        </w:category>
        <w:types>
          <w:type w:val="bbPlcHdr"/>
        </w:types>
        <w:behaviors>
          <w:behavior w:val="content"/>
        </w:behaviors>
        <w:guid w:val="{8C4F7D04-3290-49A2-A1A8-CE54E5D88A88}"/>
      </w:docPartPr>
      <w:docPartBody>
        <w:p w:rsidR="00A20D39" w:rsidRDefault="00C66578" w:rsidP="00C66578">
          <w:pPr>
            <w:pStyle w:val="9F03AA1B603F47D3BD40A45F2A0F7814"/>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ebkit-standar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0DD"/>
    <w:rsid w:val="0001247F"/>
    <w:rsid w:val="00047C19"/>
    <w:rsid w:val="00061157"/>
    <w:rsid w:val="000624FF"/>
    <w:rsid w:val="000937FE"/>
    <w:rsid w:val="000A50C9"/>
    <w:rsid w:val="000A559A"/>
    <w:rsid w:val="000D1C93"/>
    <w:rsid w:val="000D24D4"/>
    <w:rsid w:val="000D6217"/>
    <w:rsid w:val="0014006D"/>
    <w:rsid w:val="001A6D40"/>
    <w:rsid w:val="001C35A9"/>
    <w:rsid w:val="00237556"/>
    <w:rsid w:val="00284B0F"/>
    <w:rsid w:val="002C0686"/>
    <w:rsid w:val="002E319C"/>
    <w:rsid w:val="0039303B"/>
    <w:rsid w:val="004144A3"/>
    <w:rsid w:val="004160E7"/>
    <w:rsid w:val="004416C6"/>
    <w:rsid w:val="00456E96"/>
    <w:rsid w:val="004C6221"/>
    <w:rsid w:val="004D038D"/>
    <w:rsid w:val="004F4E20"/>
    <w:rsid w:val="004F5AB2"/>
    <w:rsid w:val="005074B9"/>
    <w:rsid w:val="00563A5F"/>
    <w:rsid w:val="00574A61"/>
    <w:rsid w:val="00590DC8"/>
    <w:rsid w:val="005C62E5"/>
    <w:rsid w:val="005E40DD"/>
    <w:rsid w:val="00601F4E"/>
    <w:rsid w:val="006674C0"/>
    <w:rsid w:val="006E6A2C"/>
    <w:rsid w:val="007219C1"/>
    <w:rsid w:val="00740371"/>
    <w:rsid w:val="00745C63"/>
    <w:rsid w:val="00753462"/>
    <w:rsid w:val="00772325"/>
    <w:rsid w:val="00786A9D"/>
    <w:rsid w:val="007A2FE0"/>
    <w:rsid w:val="007C6D1D"/>
    <w:rsid w:val="007D654E"/>
    <w:rsid w:val="007E3110"/>
    <w:rsid w:val="00803306"/>
    <w:rsid w:val="00853487"/>
    <w:rsid w:val="00892FF4"/>
    <w:rsid w:val="008C0DC0"/>
    <w:rsid w:val="008C692F"/>
    <w:rsid w:val="0090074D"/>
    <w:rsid w:val="009019EA"/>
    <w:rsid w:val="00901A35"/>
    <w:rsid w:val="009B2125"/>
    <w:rsid w:val="009B3BF0"/>
    <w:rsid w:val="009D5E5E"/>
    <w:rsid w:val="009E1F64"/>
    <w:rsid w:val="009E2F39"/>
    <w:rsid w:val="009F1BB4"/>
    <w:rsid w:val="00A20D39"/>
    <w:rsid w:val="00A254A2"/>
    <w:rsid w:val="00AB2D54"/>
    <w:rsid w:val="00AB6ED4"/>
    <w:rsid w:val="00B14210"/>
    <w:rsid w:val="00B22ED6"/>
    <w:rsid w:val="00B23DC0"/>
    <w:rsid w:val="00B71F04"/>
    <w:rsid w:val="00B96656"/>
    <w:rsid w:val="00B9789F"/>
    <w:rsid w:val="00BA0A8E"/>
    <w:rsid w:val="00BE3364"/>
    <w:rsid w:val="00C2401D"/>
    <w:rsid w:val="00C250D7"/>
    <w:rsid w:val="00C268E1"/>
    <w:rsid w:val="00C53A68"/>
    <w:rsid w:val="00C66578"/>
    <w:rsid w:val="00CA5BB4"/>
    <w:rsid w:val="00CB4BD1"/>
    <w:rsid w:val="00CD139C"/>
    <w:rsid w:val="00CE2DA9"/>
    <w:rsid w:val="00CE44BE"/>
    <w:rsid w:val="00D008F3"/>
    <w:rsid w:val="00D0142D"/>
    <w:rsid w:val="00D04DFF"/>
    <w:rsid w:val="00D15ED6"/>
    <w:rsid w:val="00D20347"/>
    <w:rsid w:val="00D30C11"/>
    <w:rsid w:val="00D4356B"/>
    <w:rsid w:val="00D7162F"/>
    <w:rsid w:val="00DA599C"/>
    <w:rsid w:val="00DB4DB5"/>
    <w:rsid w:val="00DC24DF"/>
    <w:rsid w:val="00DE4D10"/>
    <w:rsid w:val="00E44A86"/>
    <w:rsid w:val="00E522EB"/>
    <w:rsid w:val="00E60827"/>
    <w:rsid w:val="00EC53F6"/>
    <w:rsid w:val="00EF6E0C"/>
    <w:rsid w:val="00F14477"/>
    <w:rsid w:val="00F370E5"/>
    <w:rsid w:val="00F55028"/>
    <w:rsid w:val="00F677F0"/>
    <w:rsid w:val="00F77BEF"/>
    <w:rsid w:val="00FC15F8"/>
    <w:rsid w:val="00FC755C"/>
    <w:rsid w:val="00FE0D46"/>
    <w:rsid w:val="00FF0A54"/>
    <w:rsid w:val="00FF1B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01A35"/>
    <w:rPr>
      <w:color w:val="808080"/>
    </w:rPr>
  </w:style>
  <w:style w:type="paragraph" w:customStyle="1" w:styleId="9F03AA1B603F47D3BD40A45F2A0F7814">
    <w:name w:val="9F03AA1B603F47D3BD40A45F2A0F7814"/>
    <w:rsid w:val="00C6657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B6180-9778-49EA-A647-E35710B0F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2429</Words>
  <Characters>16962</Characters>
  <Application>Microsoft Office Word</Application>
  <DocSecurity>0</DocSecurity>
  <Lines>368</Lines>
  <Paragraphs>130</Paragraphs>
  <ScaleCrop>false</ScaleCrop>
  <Company/>
  <LinksUpToDate>false</LinksUpToDate>
  <CharactersWithSpaces>19261</CharactersWithSpaces>
  <SharedDoc>false</SharedDoc>
  <HLinks>
    <vt:vector size="6" baseType="variant">
      <vt:variant>
        <vt:i4>5308539</vt:i4>
      </vt:variant>
      <vt:variant>
        <vt:i4>6</vt:i4>
      </vt:variant>
      <vt:variant>
        <vt:i4>0</vt:i4>
      </vt:variant>
      <vt:variant>
        <vt:i4>5</vt:i4>
      </vt:variant>
      <vt:variant>
        <vt:lpwstr>mailto:vvkt@vvkt.lt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2026-09-29T15:08:00Z</dcterms:created>
  <dcterms:modified xsi:type="dcterms:W3CDTF">2026-10-02T10:20:00Z</dcterms:modified>
</cp:coreProperties>
</file>