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5EB3" w14:textId="1955ADE3" w:rsidR="005F7602" w:rsidRPr="000203E1" w:rsidRDefault="005F7602" w:rsidP="002946C7">
      <w:pPr>
        <w:ind w:left="5529"/>
      </w:pPr>
    </w:p>
    <w:p w14:paraId="12FA4B9E" w14:textId="39AA3336" w:rsidR="001B3C5B" w:rsidRPr="000203E1" w:rsidRDefault="00DC261A" w:rsidP="001B3C5B">
      <w:pPr>
        <w:ind w:left="6096"/>
      </w:pPr>
      <w:bookmarkStart w:id="0" w:name="_Hlk189565243"/>
      <w:r w:rsidRPr="00DC261A">
        <w:t>PATVIRTINTA</w:t>
      </w:r>
    </w:p>
    <w:p w14:paraId="7206970B" w14:textId="70E9BD2E" w:rsidR="004C263A" w:rsidRPr="000203E1" w:rsidRDefault="001B3C5B" w:rsidP="001B3C5B">
      <w:pPr>
        <w:ind w:left="6096"/>
      </w:pPr>
      <w:r w:rsidRPr="000203E1">
        <w:t>Valstybinės vaistų kontrolės tarnybos prie Lietuvos Respublikos sveikatos apsaugos ministerijos viršininko 2021 m</w:t>
      </w:r>
      <w:r w:rsidR="004C263A" w:rsidRPr="000203E1">
        <w:t xml:space="preserve">. lapkričio 12 </w:t>
      </w:r>
      <w:r w:rsidRPr="000203E1">
        <w:t>d. įsakymu Nr.</w:t>
      </w:r>
      <w:r w:rsidR="004C263A" w:rsidRPr="000203E1">
        <w:t xml:space="preserve"> (1.72E)1A-1418</w:t>
      </w:r>
    </w:p>
    <w:p w14:paraId="5B219AA6" w14:textId="3A5D6CB4" w:rsidR="001B3C5B" w:rsidRPr="000203E1" w:rsidRDefault="004C263A" w:rsidP="001B3C5B">
      <w:pPr>
        <w:ind w:left="6096"/>
      </w:pPr>
      <w:r w:rsidRPr="000203E1">
        <w:t>(Valstybinės vaistų kontrolės tarnybos prie Lietuvos Respublikos sveikatos apsaugos ministerijos viršininko 202</w:t>
      </w:r>
      <w:r w:rsidR="00A2310D">
        <w:t>5</w:t>
      </w:r>
      <w:r w:rsidRPr="000203E1">
        <w:t xml:space="preserve"> m.                         d. įsakymo Nr.                    redakcija)</w:t>
      </w:r>
    </w:p>
    <w:p w14:paraId="3336BD74" w14:textId="77777777" w:rsidR="001B3C5B" w:rsidRPr="000203E1" w:rsidRDefault="001B3C5B" w:rsidP="00FA4169"/>
    <w:bookmarkEnd w:id="0"/>
    <w:p w14:paraId="56604434" w14:textId="77777777" w:rsidR="00DC261A" w:rsidRDefault="00DC261A" w:rsidP="003B211A">
      <w:pPr>
        <w:jc w:val="center"/>
        <w:rPr>
          <w:b/>
        </w:rPr>
      </w:pPr>
    </w:p>
    <w:p w14:paraId="77AFB67E" w14:textId="0FB133A2" w:rsidR="00613501" w:rsidRPr="000203E1" w:rsidRDefault="002F0E4F" w:rsidP="003B211A">
      <w:pPr>
        <w:jc w:val="center"/>
        <w:rPr>
          <w:b/>
          <w:bCs/>
          <w:caps/>
        </w:rPr>
      </w:pPr>
      <w:r w:rsidRPr="000203E1">
        <w:rPr>
          <w:b/>
        </w:rPr>
        <w:t xml:space="preserve">REKOMENDACIJA DĖL VAISTINIO PREPARATO </w:t>
      </w:r>
      <w:r w:rsidRPr="000203E1">
        <w:rPr>
          <w:b/>
          <w:bCs/>
          <w:caps/>
        </w:rPr>
        <w:t>Lietuvos Respublikos Sveikatos apsaugos ministerijos vaistinių preparatų ir medicinos pagalbos priemonių kompensavimo komisijai</w:t>
      </w:r>
    </w:p>
    <w:p w14:paraId="34E4395D" w14:textId="15FB10DF" w:rsidR="00B13D65" w:rsidRPr="000203E1" w:rsidRDefault="00B13D65" w:rsidP="003B211A">
      <w:pPr>
        <w:jc w:val="center"/>
        <w:rPr>
          <w:b/>
        </w:rPr>
      </w:pPr>
    </w:p>
    <w:p w14:paraId="4A1C1DF8" w14:textId="77777777" w:rsidR="00EF4459" w:rsidRPr="009300B3" w:rsidRDefault="00965BC5" w:rsidP="00EF4459">
      <w:pPr>
        <w:jc w:val="center"/>
        <w:rPr>
          <w:b/>
        </w:rPr>
      </w:pPr>
      <w:r>
        <w:rPr>
          <w:b/>
        </w:rPr>
        <w:t>Alyftrek 125/50/10 mg</w:t>
      </w:r>
      <w:r w:rsidR="00EF4459">
        <w:rPr>
          <w:b/>
        </w:rPr>
        <w:t xml:space="preserve"> plėvele dengtos tabletės</w:t>
      </w:r>
    </w:p>
    <w:p w14:paraId="78EC84F2" w14:textId="6387D4C9" w:rsidR="00965BC5" w:rsidRPr="009300B3" w:rsidRDefault="00EF4459" w:rsidP="00965BC5">
      <w:pPr>
        <w:jc w:val="center"/>
        <w:rPr>
          <w:b/>
        </w:rPr>
      </w:pPr>
      <w:r>
        <w:rPr>
          <w:b/>
        </w:rPr>
        <w:t xml:space="preserve">Alyftrek </w:t>
      </w:r>
      <w:r w:rsidR="00965BC5">
        <w:rPr>
          <w:b/>
        </w:rPr>
        <w:t>50/20/4 mg</w:t>
      </w:r>
      <w:r w:rsidR="00965BC5" w:rsidRPr="009300B3">
        <w:rPr>
          <w:b/>
        </w:rPr>
        <w:t xml:space="preserve"> </w:t>
      </w:r>
      <w:r w:rsidR="00965BC5">
        <w:rPr>
          <w:b/>
        </w:rPr>
        <w:t>plėvele dengtos tabletės</w:t>
      </w:r>
    </w:p>
    <w:p w14:paraId="24B533C6" w14:textId="77777777" w:rsidR="00965BC5" w:rsidRPr="009300B3" w:rsidRDefault="00965BC5" w:rsidP="00965BC5">
      <w:pPr>
        <w:jc w:val="center"/>
      </w:pPr>
    </w:p>
    <w:p w14:paraId="568FF025" w14:textId="50471331" w:rsidR="00965BC5" w:rsidRPr="009300B3" w:rsidRDefault="00965BC5" w:rsidP="00965BC5">
      <w:pPr>
        <w:jc w:val="center"/>
      </w:pPr>
      <w:r>
        <w:rPr>
          <w:b/>
        </w:rPr>
        <w:t>De</w:t>
      </w:r>
      <w:r w:rsidRPr="00D72DEC">
        <w:rPr>
          <w:b/>
        </w:rPr>
        <w:t>utivakaftoras</w:t>
      </w:r>
      <w:r w:rsidR="00EF4459">
        <w:rPr>
          <w:b/>
        </w:rPr>
        <w:t>, t</w:t>
      </w:r>
      <w:r w:rsidRPr="00D72DEC">
        <w:rPr>
          <w:b/>
        </w:rPr>
        <w:t>ezakaftoras</w:t>
      </w:r>
      <w:r w:rsidR="00EF4459">
        <w:rPr>
          <w:b/>
        </w:rPr>
        <w:t xml:space="preserve">, </w:t>
      </w:r>
      <w:r w:rsidRPr="00D72DEC">
        <w:rPr>
          <w:b/>
        </w:rPr>
        <w:t>vanzakaftoras</w:t>
      </w:r>
    </w:p>
    <w:p w14:paraId="6AFCA4A3" w14:textId="77777777" w:rsidR="00965BC5" w:rsidRDefault="00965BC5" w:rsidP="00965BC5">
      <w:pPr>
        <w:spacing w:line="280" w:lineRule="atLeast"/>
        <w:jc w:val="center"/>
        <w:rPr>
          <w:b/>
        </w:rPr>
      </w:pPr>
    </w:p>
    <w:p w14:paraId="453197C8" w14:textId="79450250" w:rsidR="00D4708D" w:rsidRDefault="00965BC5" w:rsidP="00965BC5">
      <w:pPr>
        <w:jc w:val="center"/>
        <w:rPr>
          <w:b/>
        </w:rPr>
      </w:pPr>
      <w:r>
        <w:rPr>
          <w:b/>
        </w:rPr>
        <w:t>STV-303</w:t>
      </w:r>
    </w:p>
    <w:p w14:paraId="10915D09" w14:textId="77777777" w:rsidR="00965BC5" w:rsidRPr="000203E1" w:rsidRDefault="00965BC5" w:rsidP="00965BC5">
      <w:pPr>
        <w:jc w:val="center"/>
        <w:rPr>
          <w:b/>
        </w:rPr>
      </w:pPr>
    </w:p>
    <w:p w14:paraId="78C89D1C" w14:textId="0DEFFAA5" w:rsidR="00D4485B" w:rsidRPr="000203E1" w:rsidRDefault="00B13D65" w:rsidP="00CC09D4">
      <w:pPr>
        <w:pStyle w:val="ListParagraph"/>
        <w:numPr>
          <w:ilvl w:val="0"/>
          <w:numId w:val="12"/>
        </w:numPr>
        <w:tabs>
          <w:tab w:val="left" w:pos="567"/>
        </w:tabs>
        <w:ind w:left="567" w:hanging="567"/>
        <w:rPr>
          <w:b/>
          <w:bCs/>
          <w:caps/>
        </w:rPr>
      </w:pPr>
      <w:r w:rsidRPr="000203E1">
        <w:rPr>
          <w:b/>
          <w:bCs/>
          <w:caps/>
        </w:rPr>
        <w:t>Bendroji dalis</w:t>
      </w:r>
    </w:p>
    <w:p w14:paraId="04A7C7A7" w14:textId="77777777" w:rsidR="00B13D65" w:rsidRPr="000203E1" w:rsidRDefault="00B13D65" w:rsidP="00E03C3F">
      <w:pPr>
        <w:pStyle w:val="ListParagraph"/>
        <w:tabs>
          <w:tab w:val="left" w:pos="284"/>
        </w:tabs>
        <w:ind w:left="0"/>
        <w:rPr>
          <w:b/>
          <w:bCs/>
          <w:caps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32"/>
        <w:gridCol w:w="3899"/>
        <w:gridCol w:w="4962"/>
      </w:tblGrid>
      <w:tr w:rsidR="0086343D" w:rsidRPr="00977D72" w14:paraId="16A7BC7B" w14:textId="77777777" w:rsidTr="0086343D">
        <w:trPr>
          <w:trHeight w:val="538"/>
        </w:trPr>
        <w:tc>
          <w:tcPr>
            <w:tcW w:w="632" w:type="dxa"/>
          </w:tcPr>
          <w:p w14:paraId="4572808D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  <w:bCs/>
              </w:rPr>
              <w:t>1.1</w:t>
            </w:r>
          </w:p>
        </w:tc>
        <w:tc>
          <w:tcPr>
            <w:tcW w:w="3899" w:type="dxa"/>
          </w:tcPr>
          <w:p w14:paraId="54BA6EB3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  <w:bCs/>
              </w:rPr>
              <w:t>Pareiškėjas</w:t>
            </w:r>
            <w:r>
              <w:rPr>
                <w:rFonts w:eastAsia="Arial"/>
                <w:b/>
                <w:bCs/>
              </w:rPr>
              <w:t>/ pareiškėjo atstovas</w:t>
            </w:r>
          </w:p>
        </w:tc>
        <w:tc>
          <w:tcPr>
            <w:tcW w:w="4962" w:type="dxa"/>
          </w:tcPr>
          <w:p w14:paraId="67FE0B14" w14:textId="44127A78" w:rsidR="0086343D" w:rsidRPr="00340FCD" w:rsidRDefault="0086343D" w:rsidP="0086343D">
            <w:pPr>
              <w:rPr>
                <w:rFonts w:eastAsia="Arial"/>
              </w:rPr>
            </w:pPr>
            <w:r w:rsidRPr="00340FCD">
              <w:rPr>
                <w:kern w:val="2"/>
                <w:lang w:val="en-US" w:eastAsia="lt-LT"/>
                <w14:ligatures w14:val="standardContextual"/>
              </w:rPr>
              <w:t>Medison Pharma Lithuania, UAB</w:t>
            </w:r>
          </w:p>
        </w:tc>
      </w:tr>
      <w:tr w:rsidR="0086343D" w:rsidRPr="00977D72" w14:paraId="101EA148" w14:textId="77777777" w:rsidTr="0086343D">
        <w:trPr>
          <w:trHeight w:val="538"/>
        </w:trPr>
        <w:tc>
          <w:tcPr>
            <w:tcW w:w="632" w:type="dxa"/>
          </w:tcPr>
          <w:p w14:paraId="3BF67175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  <w:bCs/>
              </w:rPr>
              <w:t>1.2</w:t>
            </w:r>
          </w:p>
        </w:tc>
        <w:tc>
          <w:tcPr>
            <w:tcW w:w="3899" w:type="dxa"/>
          </w:tcPr>
          <w:p w14:paraId="786B66DF" w14:textId="77777777" w:rsidR="0086343D" w:rsidRPr="00977D72" w:rsidRDefault="0086343D" w:rsidP="0086343D">
            <w:pPr>
              <w:rPr>
                <w:b/>
                <w:bCs/>
                <w:lang w:eastAsia="lt-LT"/>
              </w:rPr>
            </w:pPr>
            <w:r w:rsidRPr="00977D72">
              <w:rPr>
                <w:b/>
                <w:bCs/>
                <w:lang w:eastAsia="lt-LT"/>
              </w:rPr>
              <w:t xml:space="preserve">Vaistinio preparato registracijos data </w:t>
            </w:r>
          </w:p>
          <w:p w14:paraId="4B568341" w14:textId="77777777" w:rsidR="0086343D" w:rsidRPr="00977D72" w:rsidRDefault="0086343D" w:rsidP="0086343D">
            <w:pPr>
              <w:rPr>
                <w:b/>
                <w:bCs/>
                <w:lang w:eastAsia="lt-LT"/>
              </w:rPr>
            </w:pPr>
          </w:p>
        </w:tc>
        <w:tc>
          <w:tcPr>
            <w:tcW w:w="4962" w:type="dxa"/>
          </w:tcPr>
          <w:p w14:paraId="1E6445BC" w14:textId="13F126FC" w:rsidR="0086343D" w:rsidRPr="00977D72" w:rsidRDefault="00445902" w:rsidP="0086343D">
            <w:pPr>
              <w:rPr>
                <w:rStyle w:val="Style2"/>
              </w:rPr>
            </w:pPr>
            <w:sdt>
              <w:sdtPr>
                <w:rPr>
                  <w:sz w:val="32"/>
                </w:rPr>
                <w:alias w:val="Nurodykite konkrečią dieną"/>
                <w:tag w:val="Nurodykite pradžios datą"/>
                <w:id w:val="1772196685"/>
                <w:placeholder>
                  <w:docPart w:val="1116A5A0209F4FEEB4A56B4F0787672E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>
                <w:rPr>
                  <w:sz w:val="24"/>
                </w:rPr>
              </w:sdtEndPr>
              <w:sdtContent>
                <w:r w:rsidR="0086343D" w:rsidRPr="0096665F">
                  <w:t>2025 m. birželio 30 d.</w:t>
                </w:r>
              </w:sdtContent>
            </w:sdt>
          </w:p>
        </w:tc>
      </w:tr>
      <w:tr w:rsidR="0086343D" w:rsidRPr="00977D72" w14:paraId="3D70E0FA" w14:textId="77777777" w:rsidTr="0086343D">
        <w:trPr>
          <w:trHeight w:val="1643"/>
        </w:trPr>
        <w:tc>
          <w:tcPr>
            <w:tcW w:w="632" w:type="dxa"/>
          </w:tcPr>
          <w:p w14:paraId="021DF6BD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  <w:bCs/>
              </w:rPr>
              <w:t>1.3</w:t>
            </w:r>
          </w:p>
        </w:tc>
        <w:tc>
          <w:tcPr>
            <w:tcW w:w="3899" w:type="dxa"/>
          </w:tcPr>
          <w:p w14:paraId="528F713F" w14:textId="77777777" w:rsidR="0086343D" w:rsidRPr="00977D72" w:rsidRDefault="0086343D" w:rsidP="0086343D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77D72">
              <w:rPr>
                <w:rFonts w:ascii="Times New Roman" w:hAnsi="Times New Roman"/>
                <w:b/>
                <w:sz w:val="24"/>
                <w:szCs w:val="24"/>
              </w:rPr>
              <w:t xml:space="preserve">Vaistinio preparato </w:t>
            </w:r>
            <w:r w:rsidRPr="00977D7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registracijos teisinis pagrindas</w:t>
            </w:r>
          </w:p>
          <w:p w14:paraId="63F86DC1" w14:textId="77777777" w:rsidR="0086343D" w:rsidRPr="00977D72" w:rsidRDefault="0086343D" w:rsidP="0086343D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977D7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(</w:t>
            </w:r>
            <w:r w:rsidRPr="00977D72">
              <w:rPr>
                <w:rFonts w:ascii="Times New Roman" w:hAnsi="Times New Roman"/>
                <w:b/>
                <w:sz w:val="24"/>
                <w:szCs w:val="24"/>
              </w:rPr>
              <w:t>Direktyvos 2001/83/EB str.)</w:t>
            </w:r>
          </w:p>
        </w:tc>
        <w:tc>
          <w:tcPr>
            <w:tcW w:w="4962" w:type="dxa"/>
          </w:tcPr>
          <w:p w14:paraId="5FF0562C" w14:textId="77777777" w:rsidR="0086343D" w:rsidRPr="00DB5616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526292078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>
                  <w:rPr>
                    <w:rStyle w:val="Style2"/>
                    <w:rFonts w:ascii="MS Gothic" w:eastAsia="MS Gothic" w:hAnsi="MS Gothic" w:hint="eastAsia"/>
                    <w:sz w:val="24"/>
                  </w:rPr>
                  <w:t>☒</w:t>
                </w:r>
              </w:sdtContent>
            </w:sdt>
            <w:r w:rsidR="0086343D" w:rsidRPr="00DB5616">
              <w:t>8.3 str. (pilna byla, pagrįsta savais tyrimais)</w:t>
            </w:r>
          </w:p>
          <w:p w14:paraId="2226CD46" w14:textId="77777777" w:rsidR="0086343D" w:rsidRPr="00DB5616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-149795373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DB5616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6343D" w:rsidRPr="00DB5616">
              <w:t>10 a str. (pripažintas medicininis vartojimas)</w:t>
            </w:r>
          </w:p>
          <w:p w14:paraId="459DB080" w14:textId="77777777" w:rsidR="0086343D" w:rsidRPr="00DB5616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20414249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DB5616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6343D" w:rsidRPr="00DB5616">
              <w:t>10.1 str. (generinis)</w:t>
            </w:r>
          </w:p>
          <w:p w14:paraId="4D88EF92" w14:textId="77777777" w:rsidR="0086343D" w:rsidRPr="00DB5616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82030510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DB5616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6343D" w:rsidRPr="00DB5616">
              <w:t>10.3 str. (hibridinis)</w:t>
            </w:r>
          </w:p>
          <w:p w14:paraId="195BA269" w14:textId="77777777" w:rsidR="0086343D" w:rsidRPr="00DB5616" w:rsidRDefault="00445902" w:rsidP="0086343D">
            <w:sdt>
              <w:sdtPr>
                <w:rPr>
                  <w:rStyle w:val="Style2"/>
                  <w:sz w:val="24"/>
                </w:rPr>
                <w:id w:val="-45017604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DB5616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6343D" w:rsidRPr="00DB5616">
              <w:t>10.</w:t>
            </w:r>
            <w:r w:rsidR="0086343D">
              <w:t>4</w:t>
            </w:r>
            <w:r w:rsidR="0086343D" w:rsidRPr="00DB5616">
              <w:t xml:space="preserve"> str. (</w:t>
            </w:r>
            <w:r w:rsidR="0086343D" w:rsidRPr="001A0CAA">
              <w:t>panašus biologinis</w:t>
            </w:r>
            <w:r w:rsidR="0086343D" w:rsidRPr="00DB5616">
              <w:t>)</w:t>
            </w:r>
          </w:p>
          <w:p w14:paraId="6B725EF9" w14:textId="77777777" w:rsidR="0086343D" w:rsidRDefault="0086343D" w:rsidP="0086343D">
            <w:pPr>
              <w:jc w:val="both"/>
            </w:pPr>
          </w:p>
          <w:p w14:paraId="59036FB5" w14:textId="77777777" w:rsidR="0086343D" w:rsidRPr="001A0CAA" w:rsidRDefault="0086343D" w:rsidP="0086343D">
            <w:pPr>
              <w:rPr>
                <w:rStyle w:val="Style2"/>
                <w:sz w:val="24"/>
              </w:rPr>
            </w:pPr>
          </w:p>
        </w:tc>
      </w:tr>
      <w:tr w:rsidR="0086343D" w:rsidRPr="00977D72" w14:paraId="31641941" w14:textId="77777777" w:rsidTr="0086343D">
        <w:trPr>
          <w:trHeight w:val="1011"/>
        </w:trPr>
        <w:tc>
          <w:tcPr>
            <w:tcW w:w="632" w:type="dxa"/>
          </w:tcPr>
          <w:p w14:paraId="2E73A32C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</w:rPr>
              <w:t>1.4</w:t>
            </w:r>
          </w:p>
        </w:tc>
        <w:tc>
          <w:tcPr>
            <w:tcW w:w="3899" w:type="dxa"/>
          </w:tcPr>
          <w:p w14:paraId="2547AC59" w14:textId="77777777" w:rsidR="0086343D" w:rsidRPr="001A0CAA" w:rsidRDefault="0086343D" w:rsidP="0086343D">
            <w:pPr>
              <w:tabs>
                <w:tab w:val="left" w:pos="284"/>
              </w:tabs>
              <w:rPr>
                <w:b/>
                <w:bCs/>
                <w:lang w:eastAsia="lt-LT"/>
              </w:rPr>
            </w:pPr>
            <w:r w:rsidRPr="001A0CAA">
              <w:rPr>
                <w:b/>
                <w:bCs/>
                <w:lang w:eastAsia="lt-LT"/>
              </w:rPr>
              <w:t>Ar vaistinis preparatas įrašytas į Bendrijos retųjų vaistinių preparatų registrą?</w:t>
            </w:r>
          </w:p>
        </w:tc>
        <w:tc>
          <w:tcPr>
            <w:tcW w:w="4962" w:type="dxa"/>
          </w:tcPr>
          <w:p w14:paraId="1DB26594" w14:textId="77777777" w:rsidR="0086343D" w:rsidRPr="009300B3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1190730465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>
                  <w:rPr>
                    <w:rStyle w:val="Style2"/>
                    <w:rFonts w:ascii="MS Gothic" w:eastAsia="MS Gothic" w:hAnsi="MS Gothic" w:hint="eastAsia"/>
                    <w:sz w:val="24"/>
                  </w:rPr>
                  <w:t>☒</w:t>
                </w:r>
              </w:sdtContent>
            </w:sdt>
            <w:r w:rsidR="0086343D" w:rsidRPr="009300B3">
              <w:t xml:space="preserve"> Taip       </w:t>
            </w:r>
            <w:r w:rsidR="0086343D" w:rsidRPr="009300B3">
              <w:rPr>
                <w:rStyle w:val="Style2"/>
                <w:sz w:val="24"/>
              </w:rPr>
              <w:t xml:space="preserve"> </w:t>
            </w:r>
            <w:sdt>
              <w:sdtPr>
                <w:rPr>
                  <w:rStyle w:val="Style2"/>
                  <w:sz w:val="24"/>
                </w:rPr>
                <w:id w:val="-176028350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9300B3">
                  <w:rPr>
                    <w:rStyle w:val="Style2"/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6343D" w:rsidRPr="009300B3">
              <w:t xml:space="preserve"> Ne</w:t>
            </w:r>
          </w:p>
          <w:p w14:paraId="5FEFA0A0" w14:textId="77777777" w:rsidR="0086343D" w:rsidRPr="009300B3" w:rsidRDefault="0086343D" w:rsidP="0086343D">
            <w:pPr>
              <w:jc w:val="both"/>
            </w:pPr>
            <w:r w:rsidRPr="009300B3">
              <w:t xml:space="preserve">Data: </w:t>
            </w:r>
            <w:sdt>
              <w:sdtPr>
                <w:alias w:val="Nurodykite konkrečią dieną"/>
                <w:tag w:val="Nurodykite pradžios datą"/>
                <w:id w:val="1784158105"/>
                <w:placeholder>
                  <w:docPart w:val="880DBC9B34254735AA683A209FD864B3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>
                  <w:t>2021 m. gruodžio 11 d.</w:t>
                </w:r>
              </w:sdtContent>
            </w:sdt>
          </w:p>
          <w:p w14:paraId="20AE7E5E" w14:textId="06F20D5E" w:rsidR="0086343D" w:rsidRPr="001A0CAA" w:rsidRDefault="0086343D" w:rsidP="0086343D">
            <w:pPr>
              <w:rPr>
                <w:rFonts w:eastAsia="Arial"/>
              </w:rPr>
            </w:pPr>
            <w:r w:rsidRPr="009300B3">
              <w:t>Nr.</w:t>
            </w:r>
            <w:r w:rsidRPr="00EE68AF">
              <w:rPr>
                <w:lang w:eastAsia="lt-LT"/>
              </w:rPr>
              <w:t xml:space="preserve"> </w:t>
            </w:r>
            <w:r w:rsidRPr="00EE68AF">
              <w:t>EU/3/21/2527</w:t>
            </w:r>
          </w:p>
        </w:tc>
      </w:tr>
      <w:tr w:rsidR="0086343D" w:rsidRPr="00977D72" w14:paraId="5E0775EB" w14:textId="77777777" w:rsidTr="0086343D">
        <w:trPr>
          <w:trHeight w:val="1011"/>
        </w:trPr>
        <w:tc>
          <w:tcPr>
            <w:tcW w:w="632" w:type="dxa"/>
          </w:tcPr>
          <w:p w14:paraId="6829924D" w14:textId="77777777" w:rsidR="0086343D" w:rsidRPr="00977D72" w:rsidRDefault="0086343D" w:rsidP="0086343D">
            <w:pPr>
              <w:rPr>
                <w:rFonts w:eastAsia="Arial"/>
                <w:b/>
              </w:rPr>
            </w:pPr>
            <w:r w:rsidRPr="00977D72">
              <w:rPr>
                <w:rFonts w:eastAsia="Arial"/>
                <w:b/>
                <w:bCs/>
              </w:rPr>
              <w:t>1.5</w:t>
            </w:r>
          </w:p>
        </w:tc>
        <w:tc>
          <w:tcPr>
            <w:tcW w:w="3899" w:type="dxa"/>
          </w:tcPr>
          <w:p w14:paraId="1DDE7CF3" w14:textId="2FF7A402" w:rsidR="0086343D" w:rsidRPr="001A0CAA" w:rsidRDefault="0086343D" w:rsidP="0086343D">
            <w:pPr>
              <w:tabs>
                <w:tab w:val="left" w:pos="284"/>
              </w:tabs>
              <w:rPr>
                <w:b/>
                <w:bCs/>
                <w:lang w:eastAsia="lt-LT"/>
              </w:rPr>
            </w:pPr>
            <w:r w:rsidRPr="001A0CAA">
              <w:rPr>
                <w:b/>
                <w:bCs/>
                <w:lang w:eastAsia="lt-LT"/>
              </w:rPr>
              <w:t>Ar atliktas bendras klinikinis vertinimas</w:t>
            </w:r>
          </w:p>
          <w:p w14:paraId="0961228D" w14:textId="77777777" w:rsidR="0086343D" w:rsidRPr="001A0CAA" w:rsidRDefault="0086343D" w:rsidP="0086343D">
            <w:pPr>
              <w:tabs>
                <w:tab w:val="left" w:pos="284"/>
              </w:tabs>
              <w:rPr>
                <w:b/>
                <w:bCs/>
                <w:lang w:eastAsia="lt-LT"/>
              </w:rPr>
            </w:pPr>
            <w:r w:rsidRPr="001A0CAA">
              <w:rPr>
                <w:b/>
                <w:bCs/>
                <w:lang w:eastAsia="lt-LT"/>
              </w:rPr>
              <w:t>(Europos Parlamento ir Tarybos reglamentas (ES) 2021/2282)</w:t>
            </w:r>
          </w:p>
          <w:p w14:paraId="7B6C3C1B" w14:textId="77777777" w:rsidR="0086343D" w:rsidRPr="001A0CAA" w:rsidRDefault="0086343D" w:rsidP="0086343D">
            <w:pPr>
              <w:tabs>
                <w:tab w:val="left" w:pos="284"/>
              </w:tabs>
              <w:rPr>
                <w:b/>
                <w:bCs/>
                <w:lang w:eastAsia="lt-LT"/>
              </w:rPr>
            </w:pPr>
          </w:p>
        </w:tc>
        <w:tc>
          <w:tcPr>
            <w:tcW w:w="4962" w:type="dxa"/>
          </w:tcPr>
          <w:p w14:paraId="558A7574" w14:textId="77777777" w:rsidR="0086343D" w:rsidRPr="009300B3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-117156447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9300B3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6343D" w:rsidRPr="009300B3">
              <w:t xml:space="preserve"> Taip       </w:t>
            </w:r>
            <w:r w:rsidR="0086343D" w:rsidRPr="009300B3">
              <w:rPr>
                <w:rStyle w:val="Style2"/>
                <w:sz w:val="24"/>
              </w:rPr>
              <w:t xml:space="preserve"> </w:t>
            </w:r>
            <w:sdt>
              <w:sdtPr>
                <w:rPr>
                  <w:rStyle w:val="Style2"/>
                  <w:sz w:val="24"/>
                </w:rPr>
                <w:id w:val="1448122567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>
                  <w:rPr>
                    <w:rStyle w:val="Style2"/>
                    <w:rFonts w:ascii="MS Gothic" w:eastAsia="MS Gothic" w:hAnsi="MS Gothic" w:hint="eastAsia"/>
                    <w:sz w:val="24"/>
                  </w:rPr>
                  <w:t>☒</w:t>
                </w:r>
              </w:sdtContent>
            </w:sdt>
            <w:r w:rsidR="0086343D" w:rsidRPr="009300B3">
              <w:t xml:space="preserve"> Ne</w:t>
            </w:r>
          </w:p>
          <w:p w14:paraId="74146639" w14:textId="3BC8C1B3" w:rsidR="0086343D" w:rsidRPr="001A0CAA" w:rsidRDefault="0086343D" w:rsidP="0086343D">
            <w:pPr>
              <w:rPr>
                <w:rStyle w:val="Style2"/>
                <w:sz w:val="24"/>
              </w:rPr>
            </w:pPr>
            <w:r w:rsidRPr="009300B3">
              <w:t xml:space="preserve">Data: </w:t>
            </w:r>
            <w:sdt>
              <w:sdtPr>
                <w:alias w:val="Nurodykite konkrečią dieną"/>
                <w:tag w:val="Nurodykite pradžios datą"/>
                <w:id w:val="1516880001"/>
                <w:placeholder>
                  <w:docPart w:val="B4E98B8544064E65B974452EDF264361"/>
                </w:placeholder>
                <w:showingPlcHdr/>
                <w15:color w:val="FFCC99"/>
                <w:date w:fullDate="2022-05-18T00:00:00Z"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9300B3">
                  <w:rPr>
                    <w:rStyle w:val="PlaceholderText"/>
                    <w:color w:val="auto"/>
                  </w:rPr>
                  <w:t>Click here to enter a date.</w:t>
                </w:r>
              </w:sdtContent>
            </w:sdt>
            <w:r w:rsidRPr="009300B3">
              <w:t xml:space="preserve"> </w:t>
            </w:r>
          </w:p>
        </w:tc>
      </w:tr>
      <w:tr w:rsidR="0086343D" w:rsidRPr="00977D72" w14:paraId="15E36E93" w14:textId="77777777" w:rsidTr="0086343D">
        <w:trPr>
          <w:trHeight w:val="1278"/>
        </w:trPr>
        <w:tc>
          <w:tcPr>
            <w:tcW w:w="632" w:type="dxa"/>
          </w:tcPr>
          <w:p w14:paraId="5F43AA8F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  <w:bCs/>
              </w:rPr>
              <w:lastRenderedPageBreak/>
              <w:t>1.6</w:t>
            </w:r>
          </w:p>
        </w:tc>
        <w:tc>
          <w:tcPr>
            <w:tcW w:w="3899" w:type="dxa"/>
          </w:tcPr>
          <w:p w14:paraId="41F32942" w14:textId="77777777" w:rsidR="0086343D" w:rsidRPr="00977D72" w:rsidRDefault="0086343D" w:rsidP="0086343D">
            <w:pPr>
              <w:rPr>
                <w:b/>
                <w:bCs/>
                <w:lang w:eastAsia="lt-LT"/>
              </w:rPr>
            </w:pPr>
            <w:r w:rsidRPr="00977D72">
              <w:rPr>
                <w:b/>
                <w:bCs/>
                <w:lang w:eastAsia="lt-LT"/>
              </w:rPr>
              <w:t xml:space="preserve">Teikiama kompensuoti terapinė indikacija </w:t>
            </w:r>
          </w:p>
          <w:p w14:paraId="2882A5BD" w14:textId="77777777" w:rsidR="0086343D" w:rsidRPr="00977D72" w:rsidRDefault="0086343D" w:rsidP="0086343D">
            <w:pPr>
              <w:rPr>
                <w:b/>
                <w:bCs/>
                <w:lang w:eastAsia="lt-LT"/>
              </w:rPr>
            </w:pPr>
          </w:p>
          <w:p w14:paraId="371D188E" w14:textId="77777777" w:rsidR="0086343D" w:rsidRPr="00977D72" w:rsidRDefault="0086343D" w:rsidP="0086343D">
            <w:pPr>
              <w:rPr>
                <w:b/>
                <w:bCs/>
                <w:lang w:eastAsia="lt-LT"/>
              </w:rPr>
            </w:pPr>
            <w:r w:rsidRPr="00977D72">
              <w:rPr>
                <w:b/>
                <w:bCs/>
                <w:lang w:eastAsia="lt-LT"/>
              </w:rPr>
              <w:t>Kodas pagal TLK-10 AM</w:t>
            </w:r>
          </w:p>
        </w:tc>
        <w:tc>
          <w:tcPr>
            <w:tcW w:w="4962" w:type="dxa"/>
          </w:tcPr>
          <w:p w14:paraId="2FDB4C59" w14:textId="77777777" w:rsidR="0086343D" w:rsidRDefault="0086343D" w:rsidP="0086343D">
            <w:pPr>
              <w:jc w:val="both"/>
            </w:pPr>
            <w:r w:rsidRPr="00673681">
              <w:t>Alyftrek tabletės skirtos cistinei fibrozei (CF) gydyti 6 metų ir vyresniems asmenims, kuriems yra bent viena ne I klasės cistinės fibrozės membranų laidumą reguliuojančio baltymo (angl. cystic fibrosis transmembrane conductance regulator, CFTR) geno mutacija</w:t>
            </w:r>
            <w:r>
              <w:t>.</w:t>
            </w:r>
          </w:p>
          <w:p w14:paraId="0B0CAFA0" w14:textId="77777777" w:rsidR="0086343D" w:rsidRPr="00673681" w:rsidRDefault="0086343D" w:rsidP="0086343D">
            <w:pPr>
              <w:jc w:val="both"/>
            </w:pPr>
          </w:p>
          <w:p w14:paraId="20D54BEB" w14:textId="00BA56EF" w:rsidR="0086343D" w:rsidRPr="00977D72" w:rsidRDefault="0086343D" w:rsidP="0086343D">
            <w:r w:rsidRPr="00673681">
              <w:t>TLK-10 AM: E84</w:t>
            </w:r>
            <w:r>
              <w:t>.</w:t>
            </w:r>
          </w:p>
        </w:tc>
      </w:tr>
      <w:tr w:rsidR="0086343D" w:rsidRPr="00977D72" w14:paraId="01C3C4F5" w14:textId="77777777" w:rsidTr="0086343D">
        <w:trPr>
          <w:trHeight w:val="378"/>
        </w:trPr>
        <w:tc>
          <w:tcPr>
            <w:tcW w:w="632" w:type="dxa"/>
          </w:tcPr>
          <w:p w14:paraId="5115AFC1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 w:rsidRPr="00977D72">
              <w:rPr>
                <w:rFonts w:eastAsia="Arial"/>
                <w:b/>
                <w:bCs/>
              </w:rPr>
              <w:t>1.7</w:t>
            </w:r>
          </w:p>
        </w:tc>
        <w:tc>
          <w:tcPr>
            <w:tcW w:w="3899" w:type="dxa"/>
          </w:tcPr>
          <w:p w14:paraId="48045B5A" w14:textId="77777777" w:rsidR="0086343D" w:rsidRPr="00977D72" w:rsidRDefault="0086343D" w:rsidP="0086343D">
            <w:pPr>
              <w:rPr>
                <w:b/>
                <w:bCs/>
                <w:u w:val="single"/>
                <w:lang w:eastAsia="lt-LT"/>
              </w:rPr>
            </w:pPr>
            <w:r w:rsidRPr="00977D72">
              <w:rPr>
                <w:b/>
                <w:bCs/>
                <w:lang w:eastAsia="lt-LT"/>
              </w:rPr>
              <w:t xml:space="preserve">Teikiamos skyrimo sąlygos </w:t>
            </w:r>
          </w:p>
        </w:tc>
        <w:tc>
          <w:tcPr>
            <w:tcW w:w="4962" w:type="dxa"/>
          </w:tcPr>
          <w:p w14:paraId="766BB2DD" w14:textId="07A5BF15" w:rsidR="0086343D" w:rsidRPr="00977D72" w:rsidRDefault="0086343D" w:rsidP="0086343D">
            <w:r w:rsidRPr="009300B3">
              <w:t>Neteikiama</w:t>
            </w:r>
            <w:r>
              <w:t>.</w:t>
            </w:r>
          </w:p>
        </w:tc>
      </w:tr>
      <w:tr w:rsidR="0086343D" w:rsidRPr="00977D72" w14:paraId="3C32C984" w14:textId="77777777" w:rsidTr="0086343D">
        <w:trPr>
          <w:trHeight w:val="378"/>
        </w:trPr>
        <w:tc>
          <w:tcPr>
            <w:tcW w:w="632" w:type="dxa"/>
          </w:tcPr>
          <w:p w14:paraId="4E679EDB" w14:textId="77777777" w:rsidR="0086343D" w:rsidRPr="00977D72" w:rsidRDefault="0086343D" w:rsidP="0086343D">
            <w:pPr>
              <w:rPr>
                <w:rFonts w:eastAsia="Arial"/>
                <w:b/>
                <w:bCs/>
              </w:rPr>
            </w:pPr>
            <w:r>
              <w:rPr>
                <w:rFonts w:eastAsia="Arial"/>
                <w:b/>
                <w:bCs/>
              </w:rPr>
              <w:t>1.8</w:t>
            </w:r>
          </w:p>
        </w:tc>
        <w:tc>
          <w:tcPr>
            <w:tcW w:w="3899" w:type="dxa"/>
          </w:tcPr>
          <w:p w14:paraId="784605B5" w14:textId="3A924C79" w:rsidR="0086343D" w:rsidRPr="00977D72" w:rsidRDefault="0086343D" w:rsidP="0086343D">
            <w:pPr>
              <w:rPr>
                <w:b/>
                <w:bCs/>
                <w:lang w:eastAsia="lt-LT"/>
              </w:rPr>
            </w:pPr>
            <w:r w:rsidRPr="00977D72">
              <w:rPr>
                <w:b/>
                <w:bCs/>
                <w:lang w:eastAsia="lt-LT"/>
              </w:rPr>
              <w:t>Ekonominė analizė</w:t>
            </w:r>
          </w:p>
        </w:tc>
        <w:tc>
          <w:tcPr>
            <w:tcW w:w="4962" w:type="dxa"/>
          </w:tcPr>
          <w:p w14:paraId="7CA03B34" w14:textId="77777777" w:rsidR="0086343D" w:rsidRPr="009300B3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35632336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 w:rsidRPr="009300B3">
                  <w:rPr>
                    <w:rStyle w:val="Style2"/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86343D" w:rsidRPr="009300B3">
              <w:t xml:space="preserve"> Kaštų naudingumo analizė</w:t>
            </w:r>
          </w:p>
          <w:p w14:paraId="2A0C3689" w14:textId="77777777" w:rsidR="0086343D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-25050658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>
                  <w:rPr>
                    <w:rStyle w:val="Style2"/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86343D" w:rsidRPr="009300B3">
              <w:t xml:space="preserve"> Kaštų mažinimo analizė</w:t>
            </w:r>
          </w:p>
          <w:p w14:paraId="3194F292" w14:textId="77777777" w:rsidR="0086343D" w:rsidRPr="009300B3" w:rsidRDefault="00445902" w:rsidP="0086343D">
            <w:pPr>
              <w:jc w:val="both"/>
            </w:pPr>
            <w:sdt>
              <w:sdtPr>
                <w:rPr>
                  <w:rStyle w:val="Style2"/>
                  <w:sz w:val="24"/>
                </w:rPr>
                <w:id w:val="-1517455044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6343D">
                  <w:rPr>
                    <w:rStyle w:val="Style2"/>
                    <w:rFonts w:ascii="MS Gothic" w:eastAsia="MS Gothic" w:hAnsi="MS Gothic" w:hint="eastAsia"/>
                    <w:sz w:val="24"/>
                  </w:rPr>
                  <w:t>☒</w:t>
                </w:r>
              </w:sdtContent>
            </w:sdt>
            <w:r w:rsidR="0086343D">
              <w:t xml:space="preserve"> Neteikiama</w:t>
            </w:r>
          </w:p>
          <w:p w14:paraId="27B6BC89" w14:textId="77777777" w:rsidR="0086343D" w:rsidRPr="00977D72" w:rsidRDefault="0086343D" w:rsidP="0086343D"/>
        </w:tc>
      </w:tr>
    </w:tbl>
    <w:p w14:paraId="2EB7FD31" w14:textId="5615B363" w:rsidR="007A2B68" w:rsidRPr="000203E1" w:rsidRDefault="00DC261A" w:rsidP="00063A50">
      <w:pPr>
        <w:pStyle w:val="ListParagraph"/>
        <w:tabs>
          <w:tab w:val="left" w:pos="426"/>
        </w:tabs>
        <w:ind w:left="0"/>
        <w:jc w:val="center"/>
        <w:rPr>
          <w:b/>
          <w:bCs/>
          <w:caps/>
        </w:rPr>
      </w:pPr>
      <w:r w:rsidRPr="00DC261A">
        <w:rPr>
          <w:b/>
          <w:bCs/>
          <w:caps/>
        </w:rPr>
        <w:t>___________________</w:t>
      </w:r>
    </w:p>
    <w:p w14:paraId="73290081" w14:textId="77777777" w:rsidR="007A2B68" w:rsidRPr="000203E1" w:rsidRDefault="007A2B68">
      <w:pPr>
        <w:rPr>
          <w:b/>
          <w:bCs/>
          <w:caps/>
        </w:rPr>
      </w:pPr>
      <w:r w:rsidRPr="000203E1">
        <w:rPr>
          <w:b/>
          <w:bCs/>
          <w:caps/>
        </w:rPr>
        <w:br w:type="page"/>
      </w:r>
    </w:p>
    <w:p w14:paraId="5055E8A8" w14:textId="711E5B0C" w:rsidR="002E6F80" w:rsidRPr="000203E1" w:rsidRDefault="00CC7832" w:rsidP="00CC09D4">
      <w:pPr>
        <w:pStyle w:val="ListParagraph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0203E1">
        <w:rPr>
          <w:b/>
          <w:bCs/>
          <w:caps/>
        </w:rPr>
        <w:lastRenderedPageBreak/>
        <w:t>Klinikinio vertinimo a</w:t>
      </w:r>
      <w:r w:rsidR="00D4485B" w:rsidRPr="000203E1">
        <w:rPr>
          <w:b/>
          <w:bCs/>
          <w:caps/>
        </w:rPr>
        <w:t>pibendrinimas</w:t>
      </w:r>
    </w:p>
    <w:p w14:paraId="3124352C" w14:textId="77777777" w:rsidR="0021231B" w:rsidRDefault="0021231B" w:rsidP="00A93AA6">
      <w:pPr>
        <w:pStyle w:val="ListParagraph"/>
        <w:tabs>
          <w:tab w:val="left" w:pos="426"/>
        </w:tabs>
        <w:ind w:left="0"/>
        <w:rPr>
          <w:b/>
          <w:bCs/>
          <w:caps/>
        </w:rPr>
      </w:pPr>
    </w:p>
    <w:p w14:paraId="62FFE472" w14:textId="77777777" w:rsidR="000E2B81" w:rsidRDefault="000E2B81" w:rsidP="000E2B81">
      <w:pPr>
        <w:spacing w:line="276" w:lineRule="auto"/>
        <w:ind w:firstLine="720"/>
        <w:jc w:val="both"/>
        <w:rPr>
          <w:color w:val="000000"/>
          <w:lang w:eastAsia="lt-LT"/>
        </w:rPr>
      </w:pPr>
      <w:r w:rsidRPr="00B93732">
        <w:rPr>
          <w:color w:val="000000"/>
          <w:lang w:eastAsia="lt-LT"/>
        </w:rPr>
        <w:t xml:space="preserve">Cistinė fibrozė (CF) yra reta genetinė liga, kuri pasireiškia, kai asmuo paveldi dvi cistinės fibrozės transmembraninio laidumo reguliatoriaus (angl. </w:t>
      </w:r>
      <w:r w:rsidRPr="00B93732">
        <w:rPr>
          <w:i/>
          <w:color w:val="000000"/>
          <w:lang w:eastAsia="lt-LT"/>
        </w:rPr>
        <w:t>cystic fibrosis transmembrane conductance regulator</w:t>
      </w:r>
      <w:r w:rsidRPr="00B93732">
        <w:rPr>
          <w:color w:val="000000"/>
          <w:lang w:eastAsia="lt-LT"/>
        </w:rPr>
        <w:t>, toliau CFTR) geno su defektu kopijas. Šios mutacijos sutrikdo normalią CFTR baltymo gamybą ir (arba) funkciją. CFTR baltymas, reguliuodamas jonų ir skysčių srautą į ląsteles ir iš jų, yra atsakingas už prakaito, virškinamojo trakto sulčių bei gleivių sekreciją. Dėl sutrikusios CFTR baltymų gamybos ar funkcijos šie įprastai skysti sekretai tirštėja: plaučiuose pradeda kauptis gleivės, sutrinka kepenų, kasos ir kitų organų funkcija.</w:t>
      </w:r>
      <w:r>
        <w:rPr>
          <w:color w:val="000000"/>
          <w:lang w:eastAsia="lt-LT"/>
        </w:rPr>
        <w:t xml:space="preserve"> </w:t>
      </w:r>
      <w:r w:rsidRPr="00B93732">
        <w:rPr>
          <w:color w:val="000000"/>
          <w:lang w:eastAsia="lt-LT"/>
        </w:rPr>
        <w:t>Dažniausia CFTR geno mutacija yra F508del. 83–90% CF sergančių žmonių turi mažiausiai vieną šios mutacijos kopiją, 41–49% turi dvi kopijas.</w:t>
      </w:r>
    </w:p>
    <w:p w14:paraId="0DEBC7E7" w14:textId="77777777" w:rsidR="000E2B81" w:rsidRDefault="000E2B81" w:rsidP="000E2B81">
      <w:pPr>
        <w:spacing w:line="276" w:lineRule="auto"/>
        <w:ind w:firstLine="720"/>
        <w:jc w:val="both"/>
        <w:rPr>
          <w:color w:val="000000"/>
          <w:lang w:eastAsia="lt-LT"/>
        </w:rPr>
      </w:pPr>
      <w:r w:rsidRPr="00B93732">
        <w:rPr>
          <w:color w:val="000000"/>
          <w:lang w:eastAsia="lt-LT"/>
        </w:rPr>
        <w:t xml:space="preserve">Išskiriami du gydymo būdai: 1) </w:t>
      </w:r>
      <w:r w:rsidRPr="00B0776D">
        <w:rPr>
          <w:bCs/>
          <w:color w:val="000000"/>
          <w:lang w:eastAsia="lt-LT"/>
        </w:rPr>
        <w:t>simptominis gydymas – antibiotikai, mukolitikai, pakaitinė fermentų terapija, bronchus plečiantys vaistai; 2) CFTR moduliatoriai</w:t>
      </w:r>
      <w:r w:rsidRPr="00B93732">
        <w:rPr>
          <w:color w:val="000000"/>
          <w:lang w:eastAsia="lt-LT"/>
        </w:rPr>
        <w:t>. Skiriant optimalų simptominį gydymą, daugiau nei pusė žmonių, sergančių CF, miršta iki 40 metų.</w:t>
      </w:r>
      <w:r>
        <w:rPr>
          <w:color w:val="000000"/>
          <w:lang w:eastAsia="lt-LT"/>
        </w:rPr>
        <w:t xml:space="preserve"> </w:t>
      </w:r>
      <w:r w:rsidRPr="00B93732">
        <w:rPr>
          <w:color w:val="000000"/>
          <w:lang w:eastAsia="lt-LT"/>
        </w:rPr>
        <w:t>CF nėra išgydoma liga, todėl gydymo tikslas yra kuo anksčiau pradėti gydymą siekiant sulėtinti ligos progresavimą ir išvengti tolimesnės organų pažaidos.</w:t>
      </w:r>
    </w:p>
    <w:p w14:paraId="29609E45" w14:textId="77777777" w:rsidR="000E2B81" w:rsidRPr="00B93732" w:rsidRDefault="000E2B81" w:rsidP="000E2B81">
      <w:pPr>
        <w:spacing w:line="276" w:lineRule="auto"/>
        <w:ind w:firstLine="720"/>
        <w:jc w:val="both"/>
        <w:rPr>
          <w:color w:val="000000"/>
          <w:lang w:eastAsia="lt-LT"/>
        </w:rPr>
      </w:pPr>
      <w:r w:rsidRPr="00B93732">
        <w:rPr>
          <w:color w:val="000000"/>
          <w:lang w:eastAsia="lt-LT"/>
        </w:rPr>
        <w:t>Lietuvoje</w:t>
      </w:r>
      <w:r>
        <w:rPr>
          <w:color w:val="000000"/>
          <w:lang w:eastAsia="lt-LT"/>
        </w:rPr>
        <w:t xml:space="preserve"> 2 metų ir vyresnių pacientų</w:t>
      </w:r>
      <w:r w:rsidRPr="00B93732">
        <w:rPr>
          <w:color w:val="000000"/>
          <w:lang w:eastAsia="lt-LT"/>
        </w:rPr>
        <w:t xml:space="preserve"> CF gydymui šiuo metu </w:t>
      </w:r>
      <w:r>
        <w:rPr>
          <w:color w:val="000000"/>
          <w:lang w:eastAsia="lt-LT"/>
        </w:rPr>
        <w:t xml:space="preserve">kompensuojamas </w:t>
      </w:r>
      <w:r>
        <w:rPr>
          <w:bCs/>
          <w:color w:val="000000"/>
          <w:lang w:eastAsia="lt-LT"/>
        </w:rPr>
        <w:t>gydymas</w:t>
      </w:r>
      <w:r w:rsidRPr="000A3869">
        <w:rPr>
          <w:bCs/>
          <w:color w:val="000000"/>
          <w:lang w:eastAsia="lt-LT"/>
        </w:rPr>
        <w:t xml:space="preserve"> </w:t>
      </w:r>
      <w:r>
        <w:rPr>
          <w:bCs/>
          <w:color w:val="000000"/>
          <w:lang w:eastAsia="lt-LT"/>
        </w:rPr>
        <w:t xml:space="preserve">CFTR moduliatoriais – </w:t>
      </w:r>
      <w:r w:rsidRPr="00B93732">
        <w:rPr>
          <w:color w:val="000000"/>
          <w:lang w:eastAsia="lt-LT"/>
        </w:rPr>
        <w:t>eleksakaftor</w:t>
      </w:r>
      <w:r>
        <w:rPr>
          <w:color w:val="000000"/>
          <w:lang w:eastAsia="lt-LT"/>
        </w:rPr>
        <w:t>u</w:t>
      </w:r>
      <w:r w:rsidRPr="00B93732">
        <w:rPr>
          <w:color w:val="000000"/>
          <w:lang w:eastAsia="lt-LT"/>
        </w:rPr>
        <w:t xml:space="preserve"> / tezakaftor</w:t>
      </w:r>
      <w:r>
        <w:rPr>
          <w:color w:val="000000"/>
          <w:lang w:eastAsia="lt-LT"/>
        </w:rPr>
        <w:t>u</w:t>
      </w:r>
      <w:r w:rsidRPr="00B93732">
        <w:rPr>
          <w:color w:val="000000"/>
          <w:lang w:eastAsia="lt-LT"/>
        </w:rPr>
        <w:t xml:space="preserve"> / ivakaftor</w:t>
      </w:r>
      <w:r>
        <w:rPr>
          <w:color w:val="000000"/>
          <w:lang w:eastAsia="lt-LT"/>
        </w:rPr>
        <w:t xml:space="preserve">u (toliau ELX/TEZ/IVA). </w:t>
      </w:r>
      <w:r w:rsidRPr="008E35F8">
        <w:rPr>
          <w:rFonts w:eastAsia="Arial"/>
        </w:rPr>
        <w:t xml:space="preserve">Pareiškėjas siūlo, jog </w:t>
      </w:r>
      <w:r>
        <w:rPr>
          <w:rFonts w:eastAsia="Arial"/>
        </w:rPr>
        <w:t>VNZ/TEZ/DIVA</w:t>
      </w:r>
      <w:r w:rsidRPr="008E35F8">
        <w:rPr>
          <w:rFonts w:eastAsia="Arial"/>
        </w:rPr>
        <w:t xml:space="preserve"> </w:t>
      </w:r>
      <w:r>
        <w:rPr>
          <w:rFonts w:eastAsia="Arial"/>
        </w:rPr>
        <w:t xml:space="preserve">šiems pacientams </w:t>
      </w:r>
      <w:r w:rsidRPr="008E35F8">
        <w:rPr>
          <w:rFonts w:eastAsia="Arial"/>
        </w:rPr>
        <w:t xml:space="preserve">būtų </w:t>
      </w:r>
      <w:r>
        <w:rPr>
          <w:rFonts w:eastAsia="Arial"/>
        </w:rPr>
        <w:t>alternatyva ELX/TEZ/IVA.</w:t>
      </w:r>
      <w:r w:rsidRPr="008A7324">
        <w:t xml:space="preserve"> </w:t>
      </w:r>
      <w:r>
        <w:t>Atsižvelgiant į standartinę praktiką Lietuvoje, įvertinta, jog pacientų, kuriems nustatyta</w:t>
      </w:r>
      <w:r w:rsidRPr="008A7324">
        <w:t xml:space="preserve"> bent viena </w:t>
      </w:r>
      <w:r>
        <w:t>CFTR</w:t>
      </w:r>
      <w:r w:rsidRPr="008A7324">
        <w:t xml:space="preserve"> geno F508del mutacija</w:t>
      </w:r>
      <w:r>
        <w:t xml:space="preserve">, populiacijoje </w:t>
      </w:r>
      <w:r>
        <w:rPr>
          <w:rFonts w:eastAsia="Arial"/>
        </w:rPr>
        <w:t>ELX/TEZ/IVA</w:t>
      </w:r>
      <w:r>
        <w:t xml:space="preserve"> yra tinkamas palyginamasis gydymas.</w:t>
      </w:r>
    </w:p>
    <w:p w14:paraId="7AA47D20" w14:textId="77777777" w:rsidR="000E2B81" w:rsidRDefault="000E2B81" w:rsidP="000E2B81">
      <w:pPr>
        <w:spacing w:line="276" w:lineRule="auto"/>
        <w:jc w:val="both"/>
        <w:rPr>
          <w:rFonts w:eastAsia="Arial"/>
          <w:bCs/>
          <w:i/>
          <w:iCs/>
        </w:rPr>
      </w:pPr>
    </w:p>
    <w:p w14:paraId="13614072" w14:textId="77777777" w:rsidR="000E2B81" w:rsidRPr="00E33F23" w:rsidRDefault="000E2B81" w:rsidP="000E2B81">
      <w:pPr>
        <w:spacing w:line="276" w:lineRule="auto"/>
        <w:jc w:val="both"/>
        <w:rPr>
          <w:rFonts w:eastAsia="Arial"/>
          <w:bCs/>
        </w:rPr>
      </w:pPr>
      <w:r w:rsidRPr="00E33F23">
        <w:rPr>
          <w:rFonts w:eastAsia="Arial"/>
          <w:bCs/>
          <w:i/>
          <w:iCs/>
        </w:rPr>
        <w:t>Tiesioginis palyginimas</w:t>
      </w:r>
    </w:p>
    <w:p w14:paraId="14F206CB" w14:textId="77777777" w:rsidR="000E2B81" w:rsidRDefault="000E2B81" w:rsidP="000E2B81">
      <w:pPr>
        <w:spacing w:line="276" w:lineRule="auto"/>
        <w:jc w:val="both"/>
        <w:rPr>
          <w:rFonts w:eastAsia="Arial"/>
          <w:bCs/>
        </w:rPr>
      </w:pPr>
      <w:r>
        <w:rPr>
          <w:rFonts w:eastAsia="Arial"/>
          <w:bCs/>
        </w:rPr>
        <w:tab/>
      </w:r>
    </w:p>
    <w:p w14:paraId="23FB6820" w14:textId="77777777" w:rsidR="000E2B81" w:rsidRDefault="000E2B81" w:rsidP="000E2B81">
      <w:pPr>
        <w:tabs>
          <w:tab w:val="left" w:pos="492"/>
        </w:tabs>
        <w:spacing w:line="276" w:lineRule="auto"/>
        <w:jc w:val="both"/>
        <w:outlineLvl w:val="1"/>
        <w:rPr>
          <w:rFonts w:eastAsia="Arial"/>
          <w:bCs/>
        </w:rPr>
      </w:pPr>
      <w:r>
        <w:rPr>
          <w:rFonts w:eastAsia="Arial"/>
          <w:bCs/>
        </w:rPr>
        <w:tab/>
      </w:r>
      <w:r>
        <w:rPr>
          <w:rFonts w:eastAsia="Arial"/>
          <w:bCs/>
        </w:rPr>
        <w:tab/>
      </w:r>
      <w:r>
        <w:rPr>
          <w:bCs/>
          <w:color w:val="000000"/>
          <w:lang w:eastAsia="lt-LT"/>
        </w:rPr>
        <w:t xml:space="preserve">Palyginamasis veiksmingumas grindžiamas klinikinių tyrimų SKYLINE </w:t>
      </w:r>
      <w:r>
        <w:rPr>
          <w:rFonts w:eastAsia="Arial"/>
          <w:bCs/>
        </w:rPr>
        <w:t>102 ir 103 bei RIDGELINE 105 duomenimis. SKYLINE 102 ir 103 tyrimuose įrodyta, jog 12 metų ir vyresniems pacientams, kuriems</w:t>
      </w:r>
      <w:r>
        <w:t xml:space="preserve"> patvirtinta CF diagnozė ir nustatyta CFTR geno F508del mutacija, plaučių funkcinės būklės </w:t>
      </w:r>
      <w:r w:rsidRPr="006E56AF">
        <w:t>(FEV</w:t>
      </w:r>
      <w:r w:rsidRPr="006E56AF">
        <w:rPr>
          <w:vertAlign w:val="subscript"/>
        </w:rPr>
        <w:t>1</w:t>
      </w:r>
      <w:r w:rsidRPr="006E56AF">
        <w:t>) pokytis po 24 savaičių</w:t>
      </w:r>
      <w:r>
        <w:t xml:space="preserve"> buvo iš</w:t>
      </w:r>
      <w:r w:rsidRPr="006E56AF">
        <w:t xml:space="preserve"> esmės toks pats (SKYLINE 102 0,2% skirtumas; 95% PI -0,7 – 1,1; SKYLINE 103 0,2% skirtumas; 95% PI -0,3 – 0,7), lyginant su ELX/TEZ/IVA (p &lt; 0,0001, patvirtinantis ne mažesnį efektyvumą).</w:t>
      </w:r>
      <w:r w:rsidRPr="006E56AF">
        <w:rPr>
          <w:rFonts w:eastAsia="Arial"/>
          <w:bCs/>
        </w:rPr>
        <w:t xml:space="preserve"> </w:t>
      </w:r>
      <w:r w:rsidRPr="00B93732">
        <w:rPr>
          <w:rFonts w:eastAsia="Arial"/>
          <w:bCs/>
        </w:rPr>
        <w:t>Reikšmingi FEV</w:t>
      </w:r>
      <w:r w:rsidRPr="00B93732">
        <w:rPr>
          <w:rFonts w:eastAsia="Arial"/>
          <w:bCs/>
          <w:vertAlign w:val="subscript"/>
        </w:rPr>
        <w:t>1</w:t>
      </w:r>
      <w:r w:rsidRPr="00B93732">
        <w:rPr>
          <w:rFonts w:eastAsia="Arial"/>
          <w:bCs/>
        </w:rPr>
        <w:t xml:space="preserve"> rodiklio pokyčiai išliko ir iš anksto numatytuose pogrupiuose </w:t>
      </w:r>
      <w:r>
        <w:rPr>
          <w:rFonts w:eastAsia="Arial"/>
          <w:bCs/>
        </w:rPr>
        <w:t>bei nekito iki 96 sav.</w:t>
      </w:r>
    </w:p>
    <w:p w14:paraId="7ED646F3" w14:textId="77777777" w:rsidR="000E2B81" w:rsidRDefault="000E2B81" w:rsidP="000E2B81">
      <w:pPr>
        <w:tabs>
          <w:tab w:val="left" w:pos="492"/>
        </w:tabs>
        <w:spacing w:line="276" w:lineRule="auto"/>
        <w:jc w:val="both"/>
        <w:outlineLvl w:val="1"/>
        <w:rPr>
          <w:rFonts w:eastAsia="Arial"/>
          <w:bCs/>
        </w:rPr>
      </w:pPr>
      <w:r>
        <w:rPr>
          <w:rFonts w:eastAsia="Arial"/>
          <w:bCs/>
        </w:rPr>
        <w:tab/>
      </w:r>
      <w:r>
        <w:rPr>
          <w:rFonts w:eastAsia="Arial"/>
          <w:bCs/>
        </w:rPr>
        <w:tab/>
        <w:t>Vertinant SKYLINE 102 ir 103 tyrimų antrines baigtis, VNZ/TEZ/DIVA chloro koncentraciją prakaite po 24 sav. sumažino atitinkamai 8,4 mmol/l (95% PI -10,5 – -6,3; p &lt; 0,0001; SKYLINE 102; 7 pav.) ir 2,8 mmol/l (95% PI -4,7 – -0,9; SKYLINE 103; 7 pav.) daugiau, lyginant su ELX/TEZ/IVA. Šis koncentracijos pokyčio skirtumas išliko panašus iki 52 sav. Tikimybė, jog paciento chloro koncentracija prakaite &lt;60 mmol/l ir &lt;30 mmol/l bus pasiekta po 24 sav., VNZ/TEZ/DIVA grupėje buvo atitinkamai 2,21 (95% PI 1,55 – 3,15; p &lt; 0,0001) ir 2,87 (95% PI 2,00 – 4,12; p &lt; 0,0001) kartus didesnė, lyginant su ELX/TEZ/IVA. Plaučių infekcijos paūmėjimų dažnis iki 96 sav. ir pacientų gyvenimo kokybė tarp grupių nesiskyrė</w:t>
      </w:r>
      <w:r w:rsidRPr="00B93732">
        <w:rPr>
          <w:rFonts w:eastAsia="Arial"/>
          <w:bCs/>
        </w:rPr>
        <w:t>.</w:t>
      </w:r>
    </w:p>
    <w:p w14:paraId="7D6CC25F" w14:textId="77777777" w:rsidR="000E2B81" w:rsidRDefault="000E2B81" w:rsidP="000E2B81">
      <w:pPr>
        <w:tabs>
          <w:tab w:val="left" w:pos="492"/>
        </w:tabs>
        <w:spacing w:line="276" w:lineRule="auto"/>
        <w:jc w:val="both"/>
        <w:outlineLvl w:val="1"/>
        <w:rPr>
          <w:rFonts w:eastAsia="Arial"/>
          <w:bCs/>
        </w:rPr>
      </w:pPr>
      <w:r>
        <w:rPr>
          <w:rFonts w:eastAsia="Arial"/>
          <w:bCs/>
        </w:rPr>
        <w:tab/>
      </w:r>
      <w:r>
        <w:rPr>
          <w:rFonts w:eastAsia="Arial"/>
          <w:bCs/>
        </w:rPr>
        <w:tab/>
      </w:r>
      <w:r>
        <w:rPr>
          <w:rFonts w:eastAsia="Arial"/>
          <w:bCs/>
          <w:noProof/>
          <w:lang w:eastAsia="lt-LT"/>
        </w:rPr>
        <w:t>Vertinant RIDGELINE 105 tyrimo antrines vertinamąsias baigtis, VNZ/TEZ/DIVA vartojančių 6 – 11 metų pacientų plaučių funkcinė būklė iki 24 sav. ženkliau nepakito (pacientai iki tyrimo pradžios gavo gydymą ELX/TEZ/IVA ir jų plaučių funkcija buvo normali). Chloro koncentracija prakaite po 24 sav. sumažėjo papildomus 8,6 mmol/l (95% PI -11,0 – -6,3 9 pav.).  Prieš tyrimą atitinkamai 84,4% ir 39,0% pacientų chloro koncentracija prakaite buvo žemiau diagnostinės ribos (&lt;60 mmol/l) ir normos ribose (&lt;30 mmol/l). Po 24 sav. šiuos tikslus pasiekė atitinkamai 94,9% ir 52,6% pacientų.</w:t>
      </w:r>
    </w:p>
    <w:p w14:paraId="5069BE82" w14:textId="77777777" w:rsidR="000E2B81" w:rsidRDefault="000E2B81" w:rsidP="000E2B81">
      <w:pPr>
        <w:spacing w:line="276" w:lineRule="auto"/>
        <w:ind w:firstLine="720"/>
        <w:jc w:val="both"/>
        <w:rPr>
          <w:rFonts w:eastAsia="Arial"/>
          <w:bCs/>
        </w:rPr>
      </w:pPr>
      <w:r>
        <w:rPr>
          <w:iCs/>
        </w:rPr>
        <w:lastRenderedPageBreak/>
        <w:t>Reikšmingų</w:t>
      </w:r>
      <w:r>
        <w:rPr>
          <w:bCs/>
          <w:iCs/>
          <w:lang w:eastAsia="lt-LT"/>
        </w:rPr>
        <w:t xml:space="preserve"> saugumo problemų ar įvykių SKYLINE 102 ir 103 tyrimuose nenustatyta. </w:t>
      </w:r>
      <w:r>
        <w:rPr>
          <w:rFonts w:eastAsia="Arial"/>
          <w:bCs/>
        </w:rPr>
        <w:t>RIDGELINE 105 tyrimo saugumo duomenys iš esmės nesiskiria nuo 12 metų ir vyresnių pacientų populiacijos.</w:t>
      </w:r>
    </w:p>
    <w:p w14:paraId="2BE244BF" w14:textId="1E4E407C" w:rsidR="0021231B" w:rsidRDefault="00EF4459" w:rsidP="00EF4459">
      <w:pPr>
        <w:pStyle w:val="ListParagraph"/>
        <w:tabs>
          <w:tab w:val="left" w:pos="426"/>
        </w:tabs>
        <w:spacing w:line="276" w:lineRule="auto"/>
        <w:ind w:left="0"/>
        <w:rPr>
          <w:b/>
          <w:bCs/>
          <w:caps/>
        </w:rPr>
      </w:pPr>
      <w:r>
        <w:tab/>
      </w:r>
      <w:r>
        <w:tab/>
      </w:r>
      <w:r w:rsidR="000E2B81">
        <w:t xml:space="preserve">Apibendrinant tiesioginio palyginimo analizės </w:t>
      </w:r>
      <w:r w:rsidR="000E2B81" w:rsidRPr="00D32F2E">
        <w:rPr>
          <w:iCs/>
        </w:rPr>
        <w:t xml:space="preserve">(SKYLINE 102 ir 103, RIDGELINE 105 tyrimų) duomenų pakanka įrodyti nesiskiriantį </w:t>
      </w:r>
      <w:r w:rsidR="000E2B81" w:rsidRPr="00D32F2E">
        <w:rPr>
          <w:rFonts w:eastAsia="Arial"/>
          <w:bCs/>
          <w:iCs/>
        </w:rPr>
        <w:t xml:space="preserve">VNZ/TEZ/DIVA </w:t>
      </w:r>
      <w:r w:rsidR="000E2B81" w:rsidRPr="00D32F2E">
        <w:rPr>
          <w:iCs/>
        </w:rPr>
        <w:t xml:space="preserve">ir ELX/TEZ/IVA klinikinį veiksmingumą gydant 6 metų ir vyresnius pacientus, kuriems nustatyta </w:t>
      </w:r>
      <w:r w:rsidR="000E2B81" w:rsidRPr="00D32F2E">
        <w:rPr>
          <w:rFonts w:cstheme="minorBidi"/>
          <w:iCs/>
        </w:rPr>
        <w:t>bent CFTR</w:t>
      </w:r>
      <w:r w:rsidR="000E2B81">
        <w:rPr>
          <w:rFonts w:cstheme="minorBidi"/>
          <w:iCs/>
        </w:rPr>
        <w:t xml:space="preserve"> </w:t>
      </w:r>
      <w:r w:rsidR="000E2B81" w:rsidRPr="00D32F2E">
        <w:rPr>
          <w:rFonts w:cstheme="minorBidi"/>
          <w:iCs/>
        </w:rPr>
        <w:t>geno F508del mutacija</w:t>
      </w:r>
      <w:r w:rsidR="000E2B81">
        <w:rPr>
          <w:rFonts w:cstheme="minorBidi"/>
          <w:iCs/>
        </w:rPr>
        <w:t>.</w:t>
      </w:r>
      <w:r w:rsidR="000E2B81">
        <w:t xml:space="preserve"> </w:t>
      </w:r>
      <w:r w:rsidR="000E2B81">
        <w:rPr>
          <w:rFonts w:eastAsia="Arial"/>
        </w:rPr>
        <w:t>Dėl šios priežasties</w:t>
      </w:r>
      <w:r w:rsidR="000E2B81">
        <w:rPr>
          <w:rFonts w:eastAsia="Arial"/>
          <w:bCs/>
        </w:rPr>
        <w:t xml:space="preserve"> </w:t>
      </w:r>
      <w:r w:rsidR="000E2B81" w:rsidRPr="00D32F2E">
        <w:rPr>
          <w:rFonts w:eastAsia="Arial"/>
          <w:bCs/>
          <w:iCs/>
        </w:rPr>
        <w:t>VNZ/TEZ/DIVA</w:t>
      </w:r>
      <w:r w:rsidR="000E2B81">
        <w:rPr>
          <w:rFonts w:eastAsia="Arial"/>
          <w:bCs/>
        </w:rPr>
        <w:t xml:space="preserve"> palyginamasis veiksmingumas vertinamas kaip iš esmės nesiskiriantis, palyginus su įprasta klinikine praktika.</w:t>
      </w:r>
    </w:p>
    <w:p w14:paraId="39C1ADA8" w14:textId="77777777" w:rsidR="00AC5129" w:rsidRPr="000203E1" w:rsidRDefault="00AC5129" w:rsidP="00A93AA6">
      <w:pPr>
        <w:pStyle w:val="ListParagraph"/>
        <w:tabs>
          <w:tab w:val="left" w:pos="426"/>
        </w:tabs>
        <w:ind w:left="0"/>
        <w:rPr>
          <w:b/>
          <w:bCs/>
          <w:caps/>
        </w:rPr>
      </w:pPr>
    </w:p>
    <w:p w14:paraId="7DE09EB5" w14:textId="69E9DD74" w:rsidR="00E03C3F" w:rsidRPr="000203E1" w:rsidRDefault="00CC7832" w:rsidP="00CC09D4">
      <w:pPr>
        <w:pStyle w:val="ListParagraph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0203E1">
        <w:rPr>
          <w:b/>
          <w:bCs/>
          <w:caps/>
        </w:rPr>
        <w:t xml:space="preserve">ekonominio vertinimo </w:t>
      </w:r>
      <w:r w:rsidR="002F0E4F" w:rsidRPr="000203E1">
        <w:rPr>
          <w:b/>
          <w:bCs/>
          <w:caps/>
        </w:rPr>
        <w:t>apibendrinimas</w:t>
      </w:r>
    </w:p>
    <w:p w14:paraId="1A900598" w14:textId="4826E5DF" w:rsidR="00C62B36" w:rsidRDefault="00C62B36" w:rsidP="00A93AA6">
      <w:pPr>
        <w:tabs>
          <w:tab w:val="left" w:pos="426"/>
        </w:tabs>
        <w:rPr>
          <w:i/>
          <w:color w:val="00B050"/>
        </w:rPr>
      </w:pPr>
    </w:p>
    <w:p w14:paraId="435E2218" w14:textId="4ED4F5E9" w:rsidR="003A5D10" w:rsidRDefault="003A5D10" w:rsidP="003A5D10">
      <w:pPr>
        <w:shd w:val="clear" w:color="auto" w:fill="FFFFFF"/>
        <w:tabs>
          <w:tab w:val="left" w:pos="284"/>
        </w:tabs>
        <w:spacing w:line="276" w:lineRule="auto"/>
        <w:jc w:val="both"/>
      </w:pPr>
      <w:r>
        <w:rPr>
          <w:rFonts w:eastAsia="Arial"/>
          <w:b/>
        </w:rPr>
        <w:tab/>
      </w:r>
      <w:r>
        <w:rPr>
          <w:rFonts w:eastAsia="Arial"/>
          <w:b/>
        </w:rPr>
        <w:tab/>
      </w:r>
      <w:r w:rsidRPr="009300B3">
        <w:rPr>
          <w:rFonts w:eastAsia="Arial"/>
        </w:rPr>
        <w:t>V</w:t>
      </w:r>
      <w:r>
        <w:rPr>
          <w:rFonts w:eastAsia="Arial"/>
        </w:rPr>
        <w:t>ykdant</w:t>
      </w:r>
      <w:r w:rsidRPr="009300B3">
        <w:rPr>
          <w:rFonts w:eastAsia="Arial"/>
        </w:rPr>
        <w:t xml:space="preserve"> </w:t>
      </w:r>
      <w:r>
        <w:t>V</w:t>
      </w:r>
      <w:r w:rsidRPr="009300B3">
        <w:t>aistinių preparatų ir medicinos pagalbos priemonių įrašymo į kompensavimo sąrašus ir jų keitimo tvarkos aprašo</w:t>
      </w:r>
      <w:r>
        <w:t>, patvirtinto</w:t>
      </w:r>
      <w:r w:rsidRPr="009300B3">
        <w:t xml:space="preserve"> Lietuvos Respublikos sveikatos apsaugos ministro 2002 m. balandžio 5 d. įsakym</w:t>
      </w:r>
      <w:r>
        <w:t>u</w:t>
      </w:r>
      <w:r w:rsidRPr="009300B3">
        <w:t xml:space="preserve"> Nr. V-159 „Dėl vaistinių preparatų ir medicinos pagalbos priemonių įrašymo į kompensavimo sąrašus ir jų keitimo tvarkos aprašo patvirtinimo“ </w:t>
      </w:r>
      <w:r>
        <w:t xml:space="preserve">(toliau – Aprašas) </w:t>
      </w:r>
      <w:r w:rsidRPr="009300B3">
        <w:t>17</w:t>
      </w:r>
      <w:r>
        <w:rPr>
          <w:vertAlign w:val="superscript"/>
        </w:rPr>
        <w:t>3</w:t>
      </w:r>
      <w:r w:rsidR="00EF4459">
        <w:t>.3</w:t>
      </w:r>
      <w:r w:rsidRPr="009300B3">
        <w:t xml:space="preserve"> p</w:t>
      </w:r>
      <w:r w:rsidR="00EF4459">
        <w:t>apunktį</w:t>
      </w:r>
      <w:r w:rsidRPr="009300B3">
        <w:t>, ekonomin</w:t>
      </w:r>
      <w:r>
        <w:t>is vertinimas</w:t>
      </w:r>
      <w:r w:rsidRPr="009300B3">
        <w:t xml:space="preserve"> neatliekama</w:t>
      </w:r>
      <w:r>
        <w:t xml:space="preserve">s </w:t>
      </w:r>
      <w:r>
        <w:rPr>
          <w:rFonts w:eastAsia="Arial"/>
        </w:rPr>
        <w:t>k</w:t>
      </w:r>
      <w:r w:rsidRPr="009300B3">
        <w:rPr>
          <w:rFonts w:eastAsia="Arial"/>
        </w:rPr>
        <w:t xml:space="preserve">linikinio vertinimo metu nustačius </w:t>
      </w:r>
      <w:r w:rsidRPr="009300B3">
        <w:rPr>
          <w:bCs/>
          <w:i/>
          <w:iCs/>
          <w:lang w:eastAsia="lt-LT"/>
        </w:rPr>
        <w:t>iš esmės nesiskiriantį</w:t>
      </w:r>
      <w:r w:rsidRPr="009300B3">
        <w:rPr>
          <w:rFonts w:eastAsia="Arial"/>
        </w:rPr>
        <w:t xml:space="preserve"> palyginamąjį veiksmingumą lyginant su įprasta klinikine praktika (atitinka </w:t>
      </w:r>
      <w:r>
        <w:t>V</w:t>
      </w:r>
      <w:r w:rsidRPr="009300B3">
        <w:t>aistinių preparatų ir medicinos pagalbos priemonių įrašymo į kompensavimo sąrašus ir jų keitimo tvarkos aprašo</w:t>
      </w:r>
      <w:r>
        <w:t>, patvirtinto</w:t>
      </w:r>
      <w:r w:rsidRPr="009300B3">
        <w:t xml:space="preserve"> Lietuvos Respublikos sveikatos apsaugos ministro 2002 m. balandžio 5 d. įsakym</w:t>
      </w:r>
      <w:r>
        <w:t>u</w:t>
      </w:r>
      <w:r w:rsidRPr="009300B3">
        <w:t xml:space="preserve"> Nr. V-159 „Dėl vaistinių preparatų ir medicinos pagalbos priemonių įrašymo į kompensavimo sąrašus ir jų keitimo tvarkos aprašo patvirtinimo“ 29.1.2 papunktį)</w:t>
      </w:r>
      <w:r>
        <w:t>.</w:t>
      </w:r>
    </w:p>
    <w:p w14:paraId="33875138" w14:textId="77777777" w:rsidR="0035172D" w:rsidRPr="000203E1" w:rsidRDefault="0035172D" w:rsidP="00A93AA6">
      <w:pPr>
        <w:tabs>
          <w:tab w:val="left" w:pos="426"/>
        </w:tabs>
        <w:rPr>
          <w:b/>
          <w:bCs/>
          <w:caps/>
        </w:rPr>
      </w:pPr>
    </w:p>
    <w:p w14:paraId="4FC424F9" w14:textId="4E767245" w:rsidR="00C62B36" w:rsidRDefault="00C62B36" w:rsidP="00CC09D4">
      <w:pPr>
        <w:pStyle w:val="ListParagraph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0203E1">
        <w:rPr>
          <w:b/>
          <w:bCs/>
          <w:caps/>
        </w:rPr>
        <w:t xml:space="preserve">Pacientų organizacijų pateikti duomenys </w:t>
      </w:r>
    </w:p>
    <w:p w14:paraId="54351841" w14:textId="77777777" w:rsidR="00C9728E" w:rsidRPr="000203E1" w:rsidRDefault="00C9728E" w:rsidP="00C9728E">
      <w:pPr>
        <w:pStyle w:val="ListParagraph"/>
        <w:tabs>
          <w:tab w:val="left" w:pos="567"/>
        </w:tabs>
        <w:rPr>
          <w:b/>
          <w:bCs/>
          <w:caps/>
        </w:rPr>
      </w:pPr>
    </w:p>
    <w:p w14:paraId="62992180" w14:textId="79943F28" w:rsidR="00937907" w:rsidRPr="000203E1" w:rsidRDefault="00937907" w:rsidP="00937907">
      <w:pPr>
        <w:spacing w:after="120"/>
        <w:jc w:val="both"/>
      </w:pPr>
      <w:r w:rsidRPr="000203E1">
        <w:t xml:space="preserve">Pacientų organizacijos pozicija </w:t>
      </w:r>
      <w:r w:rsidR="00880A44" w:rsidRPr="000203E1">
        <w:t>ne</w:t>
      </w:r>
      <w:r w:rsidRPr="000203E1">
        <w:t>pateikta.</w:t>
      </w:r>
    </w:p>
    <w:p w14:paraId="03E73D82" w14:textId="77777777" w:rsidR="00D417D2" w:rsidRPr="000203E1" w:rsidRDefault="00D417D2" w:rsidP="00937907">
      <w:pPr>
        <w:spacing w:after="120"/>
        <w:jc w:val="both"/>
      </w:pPr>
    </w:p>
    <w:p w14:paraId="3D3277FA" w14:textId="09414FFF" w:rsidR="00C62B36" w:rsidRDefault="00D67BAF" w:rsidP="00CC09D4">
      <w:pPr>
        <w:pStyle w:val="ListParagraph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D67BAF">
        <w:rPr>
          <w:b/>
          <w:bCs/>
          <w:caps/>
        </w:rPr>
        <w:t xml:space="preserve">SVEIKATOS PRIEŽIŪROS SPECIALISTŲ </w:t>
      </w:r>
      <w:r w:rsidR="00C62B36" w:rsidRPr="000203E1">
        <w:rPr>
          <w:b/>
          <w:bCs/>
          <w:caps/>
        </w:rPr>
        <w:t xml:space="preserve"> organizacijų pateikti duomenys</w:t>
      </w:r>
    </w:p>
    <w:p w14:paraId="044D5084" w14:textId="77777777" w:rsidR="00C9728E" w:rsidRPr="000203E1" w:rsidRDefault="00C9728E" w:rsidP="00C9728E">
      <w:pPr>
        <w:pStyle w:val="ListParagraph"/>
        <w:tabs>
          <w:tab w:val="left" w:pos="567"/>
        </w:tabs>
        <w:rPr>
          <w:b/>
          <w:bCs/>
          <w:caps/>
        </w:rPr>
      </w:pPr>
    </w:p>
    <w:p w14:paraId="5D8CC48C" w14:textId="4707256F" w:rsidR="00662983" w:rsidRDefault="00D67BAF" w:rsidP="00662983">
      <w:pPr>
        <w:spacing w:after="120"/>
        <w:jc w:val="both"/>
      </w:pPr>
      <w:r>
        <w:t>S</w:t>
      </w:r>
      <w:r w:rsidRPr="00E16035">
        <w:rPr>
          <w:bCs/>
        </w:rPr>
        <w:t>veikatos priežiūros specialistų</w:t>
      </w:r>
      <w:r w:rsidR="00937907" w:rsidRPr="000203E1">
        <w:t xml:space="preserve"> organizacijos pozicija </w:t>
      </w:r>
      <w:r w:rsidR="00880A44" w:rsidRPr="000203E1">
        <w:t>ne</w:t>
      </w:r>
      <w:r w:rsidR="00937907" w:rsidRPr="000203E1">
        <w:t>pateikta.</w:t>
      </w:r>
    </w:p>
    <w:p w14:paraId="3701D46A" w14:textId="77777777" w:rsidR="00A042B9" w:rsidRPr="000203E1" w:rsidRDefault="00A042B9" w:rsidP="00662983">
      <w:pPr>
        <w:spacing w:after="120"/>
        <w:jc w:val="both"/>
      </w:pPr>
    </w:p>
    <w:p w14:paraId="78F23ECB" w14:textId="3ED5BFD5" w:rsidR="002F0E4F" w:rsidRPr="000203E1" w:rsidRDefault="002F0E4F" w:rsidP="00CC09D4">
      <w:pPr>
        <w:pStyle w:val="ListParagraph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0203E1">
        <w:rPr>
          <w:b/>
          <w:bCs/>
          <w:caps/>
        </w:rPr>
        <w:t>Išvad</w:t>
      </w:r>
      <w:r w:rsidR="00B811A4">
        <w:rPr>
          <w:b/>
          <w:bCs/>
          <w:caps/>
        </w:rPr>
        <w:t>OS</w:t>
      </w:r>
      <w:r w:rsidRPr="000203E1">
        <w:rPr>
          <w:b/>
          <w:bCs/>
          <w:caps/>
        </w:rPr>
        <w:t xml:space="preserve"> </w:t>
      </w:r>
    </w:p>
    <w:p w14:paraId="30069D85" w14:textId="77777777" w:rsidR="0061611B" w:rsidRPr="000203E1" w:rsidRDefault="0061611B" w:rsidP="0061611B">
      <w:pPr>
        <w:ind w:left="360"/>
        <w:rPr>
          <w:i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814"/>
      </w:tblGrid>
      <w:tr w:rsidR="00B811A4" w:rsidRPr="00B811A4" w14:paraId="4D5EFB83" w14:textId="77777777" w:rsidTr="007111C4">
        <w:trPr>
          <w:trHeight w:val="510"/>
        </w:trPr>
        <w:tc>
          <w:tcPr>
            <w:tcW w:w="9634" w:type="dxa"/>
            <w:gridSpan w:val="2"/>
            <w:vAlign w:val="center"/>
          </w:tcPr>
          <w:p w14:paraId="294EC16B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Style2"/>
                <w:rFonts w:eastAsia="MS Gothic"/>
                <w:b/>
                <w:bCs/>
                <w:sz w:val="23"/>
                <w:szCs w:val="23"/>
              </w:rPr>
            </w:pPr>
            <w:bookmarkStart w:id="1" w:name="_Hlk185430554"/>
            <w:r w:rsidRPr="00B811A4">
              <w:rPr>
                <w:rStyle w:val="Style2"/>
                <w:rFonts w:eastAsia="MS Gothic"/>
                <w:b/>
                <w:bCs/>
                <w:sz w:val="23"/>
                <w:szCs w:val="23"/>
              </w:rPr>
              <w:t>Palyginamasis veiksmingumas</w:t>
            </w:r>
          </w:p>
        </w:tc>
      </w:tr>
      <w:tr w:rsidR="00B811A4" w:rsidRPr="00B811A4" w14:paraId="30B67515" w14:textId="77777777" w:rsidTr="007111C4">
        <w:tc>
          <w:tcPr>
            <w:tcW w:w="4820" w:type="dxa"/>
          </w:tcPr>
          <w:p w14:paraId="4FE3C208" w14:textId="2455C26C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139732464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A5D10">
                  <w:rPr>
                    <w:rStyle w:val="Style2"/>
                    <w:rFonts w:ascii="MS Gothic" w:eastAsia="MS Gothic" w:hAnsi="MS Gothic" w:hint="eastAsia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rStyle w:val="Style2"/>
                <w:sz w:val="23"/>
                <w:szCs w:val="23"/>
              </w:rPr>
              <w:t xml:space="preserve"> 29</w:t>
            </w:r>
            <w:r w:rsidR="00B811A4" w:rsidRPr="00B811A4">
              <w:rPr>
                <w:sz w:val="23"/>
                <w:szCs w:val="23"/>
              </w:rPr>
              <w:t>.1.1 yra didesnis, lyginant su įprasta klinikine praktika</w:t>
            </w:r>
          </w:p>
          <w:p w14:paraId="6F9786E4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231EDECD" w14:textId="56DDBFF7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418297090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A5D10">
                  <w:rPr>
                    <w:rStyle w:val="Style2"/>
                    <w:rFonts w:ascii="MS Gothic" w:eastAsia="MS Gothic" w:hAnsi="MS Gothic" w:hint="eastAsia"/>
                    <w:sz w:val="23"/>
                    <w:szCs w:val="23"/>
                  </w:rPr>
                  <w:t>☒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>.1.2 iš esmės nesiskiria, lyginant su įprasta klinikine praktika</w:t>
            </w:r>
          </w:p>
        </w:tc>
        <w:tc>
          <w:tcPr>
            <w:tcW w:w="4814" w:type="dxa"/>
          </w:tcPr>
          <w:p w14:paraId="72562F9E" w14:textId="77777777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-72475559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 xml:space="preserve">.1.3 yra neįrodytas kaip didesnis  ar iš esmės nesiskiriantis, lyginant su įprasta klinikine praktika  </w:t>
            </w:r>
          </w:p>
          <w:p w14:paraId="6F6DB5BC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5EE1D885" w14:textId="77777777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186216847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>.1.4 yra mažesnis, lyginant su įprasta klinikine praktika</w:t>
            </w:r>
          </w:p>
          <w:p w14:paraId="193C3D76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370E94DC" w14:textId="4EC80DB9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-185796018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>.1.5 pateikti duomenys apie palyginamąjį veiksmingumą yra netinkami vertinti</w:t>
            </w:r>
          </w:p>
          <w:p w14:paraId="45719037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rFonts w:eastAsia="MS Gothic"/>
                <w:sz w:val="23"/>
                <w:szCs w:val="23"/>
              </w:rPr>
            </w:pPr>
          </w:p>
        </w:tc>
      </w:tr>
      <w:bookmarkEnd w:id="1"/>
      <w:tr w:rsidR="00B811A4" w:rsidRPr="00B811A4" w14:paraId="0E0F5168" w14:textId="77777777" w:rsidTr="00743956">
        <w:trPr>
          <w:trHeight w:val="510"/>
        </w:trPr>
        <w:tc>
          <w:tcPr>
            <w:tcW w:w="9634" w:type="dxa"/>
            <w:gridSpan w:val="2"/>
            <w:vAlign w:val="center"/>
          </w:tcPr>
          <w:p w14:paraId="62B67E12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Style2"/>
                <w:rFonts w:eastAsia="MS Gothic"/>
                <w:b/>
                <w:bCs/>
                <w:sz w:val="23"/>
                <w:szCs w:val="23"/>
              </w:rPr>
            </w:pPr>
            <w:r w:rsidRPr="00B811A4">
              <w:rPr>
                <w:rStyle w:val="Style2"/>
                <w:rFonts w:eastAsia="MS Gothic"/>
                <w:b/>
                <w:bCs/>
                <w:sz w:val="23"/>
                <w:szCs w:val="23"/>
              </w:rPr>
              <w:t>Kaštų naudingumas</w:t>
            </w:r>
          </w:p>
        </w:tc>
      </w:tr>
      <w:tr w:rsidR="00B811A4" w:rsidRPr="00B811A4" w14:paraId="6A2F62B2" w14:textId="77777777" w:rsidTr="00743956">
        <w:tc>
          <w:tcPr>
            <w:tcW w:w="4820" w:type="dxa"/>
          </w:tcPr>
          <w:p w14:paraId="7CB2C697" w14:textId="44A4E1DF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30165788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29.2.1 atitinka referencinę naudingumo vertę taikant arba netaikant</w:t>
            </w:r>
            <w:r w:rsidR="00437623">
              <w:rPr>
                <w:b/>
                <w:bCs/>
                <w:sz w:val="23"/>
                <w:szCs w:val="23"/>
              </w:rPr>
              <w:t xml:space="preserve"> </w:t>
            </w:r>
            <w:r w:rsidR="00B811A4" w:rsidRPr="00B811A4">
              <w:rPr>
                <w:sz w:val="23"/>
                <w:szCs w:val="23"/>
              </w:rPr>
              <w:t>PGS</w:t>
            </w:r>
          </w:p>
          <w:p w14:paraId="71797774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5BE88CDB" w14:textId="60C4FFA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rFonts w:eastAsia="MS Gothic"/>
                <w:sz w:val="23"/>
                <w:szCs w:val="23"/>
              </w:rPr>
            </w:pPr>
          </w:p>
        </w:tc>
        <w:tc>
          <w:tcPr>
            <w:tcW w:w="4814" w:type="dxa"/>
          </w:tcPr>
          <w:p w14:paraId="0370A72C" w14:textId="77777777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79186028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29.2.3 neatitinka referencinės naudingumo vertės taikant arba netaikant PGS</w:t>
            </w:r>
          </w:p>
          <w:p w14:paraId="13C9EEE5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289E6691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5FD1976C" w14:textId="77777777" w:rsidR="00B811A4" w:rsidRPr="00B811A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-94384985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29.2.5 pateikti duomenys apie kaštų naudingumą yra netinkami vertinti</w:t>
            </w:r>
          </w:p>
          <w:p w14:paraId="06AB06C5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rFonts w:eastAsia="MS Gothic"/>
                <w:sz w:val="23"/>
                <w:szCs w:val="23"/>
              </w:rPr>
            </w:pPr>
          </w:p>
        </w:tc>
      </w:tr>
      <w:tr w:rsidR="007111C4" w:rsidRPr="00B811A4" w14:paraId="632C9193" w14:textId="77777777" w:rsidTr="00027464">
        <w:tc>
          <w:tcPr>
            <w:tcW w:w="9634" w:type="dxa"/>
            <w:gridSpan w:val="2"/>
          </w:tcPr>
          <w:p w14:paraId="15C289C9" w14:textId="332EB466" w:rsidR="007111C4" w:rsidRDefault="00445902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1266579562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A5D10">
                  <w:rPr>
                    <w:rStyle w:val="Style2"/>
                    <w:rFonts w:ascii="MS Gothic" w:eastAsia="MS Gothic" w:hAnsi="MS Gothic" w:hint="eastAsia"/>
                    <w:sz w:val="23"/>
                    <w:szCs w:val="23"/>
                  </w:rPr>
                  <w:t>☒</w:t>
                </w:r>
              </w:sdtContent>
            </w:sdt>
            <w:r w:rsidR="007111C4">
              <w:rPr>
                <w:sz w:val="23"/>
                <w:szCs w:val="23"/>
              </w:rPr>
              <w:t xml:space="preserve"> </w:t>
            </w:r>
            <w:r w:rsidR="007111C4" w:rsidRPr="007111C4">
              <w:rPr>
                <w:color w:val="000000"/>
                <w:sz w:val="23"/>
                <w:szCs w:val="23"/>
              </w:rPr>
              <w:t>Vykdant Aprašo 17</w:t>
            </w:r>
            <w:r w:rsidR="007111C4" w:rsidRPr="007111C4">
              <w:rPr>
                <w:color w:val="000000"/>
                <w:sz w:val="23"/>
                <w:szCs w:val="23"/>
                <w:vertAlign w:val="superscript"/>
              </w:rPr>
              <w:t>3</w:t>
            </w:r>
            <w:r w:rsidR="007111C4" w:rsidRPr="007111C4">
              <w:rPr>
                <w:color w:val="000000"/>
                <w:sz w:val="23"/>
                <w:szCs w:val="23"/>
              </w:rPr>
              <w:t>.3 punktą vaistinio (-ų) preparato (-ų) ekonominis vertinimas neatliekamas, išvados dėl kaštų naudingumo neteikiamos</w:t>
            </w:r>
          </w:p>
        </w:tc>
      </w:tr>
    </w:tbl>
    <w:p w14:paraId="08D5B3B6" w14:textId="292D1124" w:rsidR="0061611B" w:rsidRPr="000203E1" w:rsidRDefault="0061611B" w:rsidP="0061611B">
      <w:pPr>
        <w:rPr>
          <w:i/>
          <w:szCs w:val="22"/>
        </w:rPr>
      </w:pPr>
    </w:p>
    <w:p w14:paraId="1B85C083" w14:textId="77777777" w:rsidR="009E44AE" w:rsidRPr="000203E1" w:rsidRDefault="009E44AE" w:rsidP="00381024"/>
    <w:p w14:paraId="3B2D1F25" w14:textId="3A80E19F" w:rsidR="000001B0" w:rsidRPr="000203E1" w:rsidRDefault="000001B0" w:rsidP="00CC09D4">
      <w:pPr>
        <w:pStyle w:val="ListParagraph"/>
        <w:numPr>
          <w:ilvl w:val="0"/>
          <w:numId w:val="12"/>
        </w:numPr>
        <w:ind w:left="567" w:hanging="567"/>
      </w:pPr>
      <w:r w:rsidRPr="000203E1">
        <w:rPr>
          <w:b/>
        </w:rPr>
        <w:t>REKOME</w:t>
      </w:r>
      <w:r w:rsidR="00D83182" w:rsidRPr="000203E1">
        <w:rPr>
          <w:b/>
        </w:rPr>
        <w:t>N</w:t>
      </w:r>
      <w:r w:rsidRPr="000203E1">
        <w:rPr>
          <w:b/>
        </w:rPr>
        <w:t>DACIJA</w:t>
      </w:r>
    </w:p>
    <w:p w14:paraId="35E33D78" w14:textId="59232BB3" w:rsidR="00B811A4" w:rsidRPr="00D05364" w:rsidRDefault="00B811A4" w:rsidP="00B811A4">
      <w:pPr>
        <w:pStyle w:val="ListParagraph"/>
        <w:ind w:left="567"/>
        <w:rPr>
          <w:b/>
        </w:rPr>
      </w:pPr>
    </w:p>
    <w:p w14:paraId="48EDB6EC" w14:textId="77777777" w:rsidR="007B343C" w:rsidRDefault="007B343C" w:rsidP="007B343C">
      <w:pPr>
        <w:jc w:val="both"/>
        <w:rPr>
          <w:color w:val="000000"/>
          <w:lang w:eastAsia="lt-LT"/>
        </w:rPr>
      </w:pPr>
      <w:r w:rsidRPr="009300B3">
        <w:t xml:space="preserve">Vadovaujantis </w:t>
      </w:r>
      <w:r>
        <w:t xml:space="preserve">Aprašo </w:t>
      </w:r>
      <w:r w:rsidRPr="009300B3">
        <w:rPr>
          <w:color w:val="000000"/>
          <w:lang w:eastAsia="lt-LT"/>
        </w:rPr>
        <w:t>30</w:t>
      </w:r>
      <w:r w:rsidRPr="009300B3">
        <w:rPr>
          <w:color w:val="000000"/>
          <w:vertAlign w:val="superscript"/>
          <w:lang w:eastAsia="lt-LT"/>
        </w:rPr>
        <w:t>1</w:t>
      </w:r>
      <w:r w:rsidRPr="009300B3">
        <w:rPr>
          <w:color w:val="000000"/>
          <w:lang w:eastAsia="lt-LT"/>
        </w:rPr>
        <w:t xml:space="preserve">.1. papunkčiu rekomenduojama kompensuoti vaistinį preparatą pagal paraiškoje nurodytą indikaciją (arba jos dalį) su arba be skyrimo sąlygų, taikant ar netaikant PGS, kai vertinimo išvados atitinka </w:t>
      </w:r>
      <w:r w:rsidRPr="00471EC6">
        <w:rPr>
          <w:color w:val="000000"/>
          <w:lang w:eastAsia="lt-LT"/>
        </w:rPr>
        <w:t>Aprašo 29.1.2 papunk</w:t>
      </w:r>
      <w:r>
        <w:rPr>
          <w:color w:val="000000"/>
          <w:lang w:eastAsia="lt-LT"/>
        </w:rPr>
        <w:t>tyje</w:t>
      </w:r>
      <w:r w:rsidRPr="00471EC6">
        <w:rPr>
          <w:color w:val="000000"/>
          <w:lang w:eastAsia="lt-LT"/>
        </w:rPr>
        <w:t xml:space="preserve"> numatyt</w:t>
      </w:r>
      <w:r>
        <w:rPr>
          <w:color w:val="000000"/>
          <w:lang w:eastAsia="lt-LT"/>
        </w:rPr>
        <w:t>ą</w:t>
      </w:r>
      <w:r w:rsidRPr="00471EC6">
        <w:rPr>
          <w:color w:val="000000"/>
          <w:lang w:eastAsia="lt-LT"/>
        </w:rPr>
        <w:t xml:space="preserve"> sąlyg</w:t>
      </w:r>
      <w:r>
        <w:rPr>
          <w:color w:val="000000"/>
          <w:lang w:eastAsia="lt-LT"/>
        </w:rPr>
        <w:t>ą.</w:t>
      </w:r>
    </w:p>
    <w:p w14:paraId="3D60BB06" w14:textId="77777777" w:rsidR="00B811A4" w:rsidRPr="0089345A" w:rsidRDefault="00B811A4" w:rsidP="00B811A4">
      <w:pPr>
        <w:widowControl w:val="0"/>
        <w:tabs>
          <w:tab w:val="left" w:pos="1418"/>
        </w:tabs>
        <w:suppressAutoHyphens/>
        <w:spacing w:line="360" w:lineRule="atLeast"/>
        <w:jc w:val="center"/>
        <w:textAlignment w:val="center"/>
        <w:rPr>
          <w:color w:val="000000"/>
          <w:lang w:eastAsia="lt-LT"/>
        </w:rPr>
      </w:pPr>
    </w:p>
    <w:p w14:paraId="5118E783" w14:textId="77777777" w:rsidR="00E553D6" w:rsidRPr="009300B3" w:rsidRDefault="00E553D6" w:rsidP="00E553D6">
      <w:pPr>
        <w:tabs>
          <w:tab w:val="left" w:pos="426"/>
        </w:tabs>
        <w:jc w:val="both"/>
        <w:rPr>
          <w:b/>
          <w:lang w:eastAsia="lt-LT"/>
        </w:rPr>
      </w:pPr>
      <w:r w:rsidRPr="009300B3">
        <w:rPr>
          <w:b/>
          <w:lang w:eastAsia="lt-LT"/>
        </w:rPr>
        <w:t xml:space="preserve">4.1 Siūloma (-os) kompensuoti terapinės indikacijos ir skyrimo sąlygos </w:t>
      </w:r>
    </w:p>
    <w:p w14:paraId="43767617" w14:textId="77777777" w:rsidR="00E553D6" w:rsidRPr="009300B3" w:rsidRDefault="00E553D6" w:rsidP="00E553D6">
      <w:pPr>
        <w:tabs>
          <w:tab w:val="left" w:pos="426"/>
        </w:tabs>
        <w:jc w:val="both"/>
        <w:rPr>
          <w:b/>
          <w:lang w:eastAsia="lt-LT"/>
        </w:rPr>
      </w:pPr>
    </w:p>
    <w:p w14:paraId="329D209B" w14:textId="77777777" w:rsidR="00E553D6" w:rsidRPr="009300B3" w:rsidRDefault="00E553D6" w:rsidP="00E553D6">
      <w:pPr>
        <w:pStyle w:val="NoSpacing"/>
        <w:jc w:val="both"/>
        <w:rPr>
          <w:rFonts w:ascii="Times New Roman" w:hAnsi="Times New Roman"/>
          <w:b/>
          <w:sz w:val="24"/>
          <w:szCs w:val="24"/>
          <w:lang w:eastAsia="lt-LT"/>
        </w:rPr>
      </w:pPr>
      <w:r w:rsidRPr="009300B3">
        <w:rPr>
          <w:rFonts w:ascii="Times New Roman" w:hAnsi="Times New Roman"/>
          <w:b/>
          <w:sz w:val="24"/>
          <w:szCs w:val="24"/>
          <w:lang w:eastAsia="lt-LT"/>
        </w:rPr>
        <w:t>Terapinės indikacijos</w:t>
      </w:r>
    </w:p>
    <w:p w14:paraId="50F8A264" w14:textId="77777777" w:rsidR="00E553D6" w:rsidRDefault="00E553D6" w:rsidP="00E553D6">
      <w:pPr>
        <w:jc w:val="both"/>
      </w:pPr>
      <w:r w:rsidRPr="00673681">
        <w:t>Alyftrek tabletės skirtos cistinei fibrozei (CF) gydyti 6 metų ir vyresniems asmenims, kuriems yra bent viena ne I klasės cistinės fibrozės membranų laidumą reguliuojančio baltymo (angl. cystic fibrosis transmembrane conductance regulator, CFTR) geno mutacija</w:t>
      </w:r>
      <w:r>
        <w:t>.</w:t>
      </w:r>
    </w:p>
    <w:p w14:paraId="6D7AA620" w14:textId="77777777" w:rsidR="00E553D6" w:rsidRPr="009300B3" w:rsidRDefault="00E553D6" w:rsidP="00E553D6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154404A0" w14:textId="77777777" w:rsidR="00E553D6" w:rsidRPr="009300B3" w:rsidRDefault="00E553D6" w:rsidP="00E553D6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9300B3">
        <w:rPr>
          <w:rFonts w:ascii="Times New Roman" w:hAnsi="Times New Roman"/>
          <w:b/>
          <w:sz w:val="24"/>
          <w:szCs w:val="24"/>
        </w:rPr>
        <w:t>Skyrimo sąlygos</w:t>
      </w:r>
    </w:p>
    <w:p w14:paraId="6D723049" w14:textId="77777777" w:rsidR="00E553D6" w:rsidRDefault="00E553D6" w:rsidP="00E553D6">
      <w:pPr>
        <w:pStyle w:val="NoSpacing"/>
        <w:jc w:val="both"/>
        <w:rPr>
          <w:rFonts w:ascii="Times New Roman" w:hAnsi="Times New Roman"/>
          <w:bCs/>
          <w:i/>
          <w:iCs/>
          <w:color w:val="00B050"/>
          <w:sz w:val="24"/>
          <w:szCs w:val="24"/>
          <w:lang w:eastAsia="lt-LT"/>
        </w:rPr>
      </w:pPr>
    </w:p>
    <w:p w14:paraId="50B34945" w14:textId="77777777" w:rsidR="00E553D6" w:rsidRPr="009300B3" w:rsidRDefault="00E553D6" w:rsidP="00E553D6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843BD7">
        <w:rPr>
          <w:rFonts w:ascii="Times New Roman" w:eastAsiaTheme="minorHAnsi" w:hAnsi="Times New Roman" w:cstheme="minorBidi"/>
          <w:sz w:val="24"/>
          <w:szCs w:val="24"/>
          <w:highlight w:val="white"/>
        </w:rPr>
        <w:t xml:space="preserve">Skiriama </w:t>
      </w:r>
      <w:r>
        <w:rPr>
          <w:rFonts w:ascii="Times New Roman" w:eastAsiaTheme="minorHAnsi" w:hAnsi="Times New Roman" w:cstheme="minorBidi"/>
          <w:sz w:val="24"/>
          <w:szCs w:val="24"/>
        </w:rPr>
        <w:t>6</w:t>
      </w:r>
      <w:r w:rsidRPr="00843BD7">
        <w:rPr>
          <w:rFonts w:ascii="Times New Roman" w:hAnsi="Times New Roman" w:cstheme="minorBidi"/>
          <w:sz w:val="24"/>
          <w:szCs w:val="24"/>
        </w:rPr>
        <w:t xml:space="preserve"> metų ir vyresniems pacientams, kuriems yra bent viena cistinės fibrozės membranų laidumą reguliuojančio baltymo (angl. </w:t>
      </w:r>
      <w:r w:rsidRPr="00843BD7">
        <w:rPr>
          <w:rFonts w:ascii="Times New Roman" w:hAnsi="Times New Roman" w:cstheme="minorBidi"/>
          <w:i/>
          <w:iCs/>
          <w:sz w:val="24"/>
          <w:szCs w:val="24"/>
        </w:rPr>
        <w:t>cystic fibrosis transmembrane conductance regulator, CFTR</w:t>
      </w:r>
      <w:r w:rsidRPr="00843BD7">
        <w:rPr>
          <w:rFonts w:ascii="Times New Roman" w:hAnsi="Times New Roman" w:cstheme="minorBidi"/>
          <w:sz w:val="24"/>
          <w:szCs w:val="24"/>
        </w:rPr>
        <w:t>) geno F508del mutacija.</w:t>
      </w:r>
      <w:r w:rsidRPr="00843BD7">
        <w:rPr>
          <w:rFonts w:ascii="Times New Roman" w:hAnsi="Times New Roman" w:cstheme="minorBidi"/>
          <w:b/>
          <w:sz w:val="24"/>
          <w:szCs w:val="24"/>
        </w:rPr>
        <w:t xml:space="preserve"> </w:t>
      </w:r>
      <w:r w:rsidRPr="00843BD7">
        <w:rPr>
          <w:rFonts w:ascii="Times New Roman" w:hAnsi="Times New Roman" w:cstheme="minorBidi"/>
          <w:bCs/>
          <w:sz w:val="24"/>
          <w:szCs w:val="24"/>
        </w:rPr>
        <w:t>Gydymą skiria ir tęsia VšĮ LSMU ligoninės Kauno klinikose arba VšĮ Santaros klinikose dirbantis gydytojas pulmonologas, arba gydytojas vaikų pulmonologas, turintis cistinės fibrozės diagnostikos ir gydymo patirties.</w:t>
      </w:r>
    </w:p>
    <w:p w14:paraId="7D5C6700" w14:textId="77777777" w:rsidR="00D5470B" w:rsidRPr="000203E1" w:rsidRDefault="00D5470B" w:rsidP="00C712EA">
      <w:pPr>
        <w:pStyle w:val="ListParagraph"/>
        <w:ind w:left="426"/>
      </w:pPr>
    </w:p>
    <w:p w14:paraId="33B8DE04" w14:textId="77777777" w:rsidR="00283E59" w:rsidRDefault="00283E59" w:rsidP="00283E59">
      <w:pPr>
        <w:widowControl w:val="0"/>
        <w:tabs>
          <w:tab w:val="left" w:pos="1418"/>
        </w:tabs>
        <w:suppressAutoHyphens/>
        <w:spacing w:line="360" w:lineRule="atLeast"/>
        <w:jc w:val="center"/>
        <w:textAlignment w:val="center"/>
      </w:pPr>
      <w:r>
        <w:rPr>
          <w:color w:val="000000"/>
          <w:lang w:eastAsia="lt-LT"/>
        </w:rPr>
        <w:t>____________________________</w:t>
      </w:r>
    </w:p>
    <w:p w14:paraId="562A1372" w14:textId="77777777" w:rsidR="00283E59" w:rsidRDefault="00283E59" w:rsidP="00283E59">
      <w:pPr>
        <w:jc w:val="both"/>
        <w:rPr>
          <w:b/>
          <w:sz w:val="20"/>
        </w:rPr>
      </w:pPr>
    </w:p>
    <w:p w14:paraId="7CDFF220" w14:textId="58191D98" w:rsidR="000723FF" w:rsidRPr="000203E1" w:rsidRDefault="000723FF" w:rsidP="00824B92">
      <w:pPr>
        <w:rPr>
          <w:b/>
        </w:rPr>
      </w:pPr>
    </w:p>
    <w:sectPr w:rsidR="000723FF" w:rsidRPr="000203E1" w:rsidSect="00063A50">
      <w:headerReference w:type="first" r:id="rId8"/>
      <w:footerReference w:type="first" r:id="rId9"/>
      <w:pgSz w:w="11907" w:h="16840" w:code="9"/>
      <w:pgMar w:top="1134" w:right="567" w:bottom="1134" w:left="1701" w:header="646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35FD" w14:textId="77777777" w:rsidR="00445902" w:rsidRDefault="00445902">
      <w:r>
        <w:separator/>
      </w:r>
    </w:p>
  </w:endnote>
  <w:endnote w:type="continuationSeparator" w:id="0">
    <w:p w14:paraId="5A7F9E81" w14:textId="77777777" w:rsidR="00445902" w:rsidRDefault="0044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3368" w14:textId="77777777" w:rsidR="00347FAA" w:rsidRDefault="00347FAA">
    <w:pPr>
      <w:pStyle w:val="Footer"/>
      <w:jc w:val="right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61ED" w14:textId="77777777" w:rsidR="00445902" w:rsidRDefault="00445902">
      <w:r>
        <w:separator/>
      </w:r>
    </w:p>
  </w:footnote>
  <w:footnote w:type="continuationSeparator" w:id="0">
    <w:p w14:paraId="1CBF0BDD" w14:textId="77777777" w:rsidR="00445902" w:rsidRDefault="00445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1C8F" w14:textId="77777777" w:rsidR="00347FAA" w:rsidRDefault="00347FAA" w:rsidP="00FD793C">
    <w:pPr>
      <w:pStyle w:val="Header"/>
      <w:ind w:left="612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7D8E"/>
    <w:multiLevelType w:val="hybridMultilevel"/>
    <w:tmpl w:val="10FAC1C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76250"/>
    <w:multiLevelType w:val="hybridMultilevel"/>
    <w:tmpl w:val="3B6C29F4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0081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28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AD2E58"/>
    <w:multiLevelType w:val="hybridMultilevel"/>
    <w:tmpl w:val="F6943F7A"/>
    <w:lvl w:ilvl="0" w:tplc="AB64BC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01C59"/>
    <w:multiLevelType w:val="hybridMultilevel"/>
    <w:tmpl w:val="64544F3A"/>
    <w:lvl w:ilvl="0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A816B09"/>
    <w:multiLevelType w:val="hybridMultilevel"/>
    <w:tmpl w:val="8FBEE17A"/>
    <w:lvl w:ilvl="0" w:tplc="0427000F">
      <w:start w:val="1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81" w:hanging="360"/>
      </w:pPr>
    </w:lvl>
    <w:lvl w:ilvl="2" w:tplc="0427001B" w:tentative="1">
      <w:start w:val="1"/>
      <w:numFmt w:val="lowerRoman"/>
      <w:lvlText w:val="%3."/>
      <w:lvlJc w:val="right"/>
      <w:pPr>
        <w:ind w:left="2301" w:hanging="180"/>
      </w:pPr>
    </w:lvl>
    <w:lvl w:ilvl="3" w:tplc="0427000F" w:tentative="1">
      <w:start w:val="1"/>
      <w:numFmt w:val="decimal"/>
      <w:lvlText w:val="%4."/>
      <w:lvlJc w:val="left"/>
      <w:pPr>
        <w:ind w:left="3021" w:hanging="360"/>
      </w:pPr>
    </w:lvl>
    <w:lvl w:ilvl="4" w:tplc="04270019" w:tentative="1">
      <w:start w:val="1"/>
      <w:numFmt w:val="lowerLetter"/>
      <w:lvlText w:val="%5."/>
      <w:lvlJc w:val="left"/>
      <w:pPr>
        <w:ind w:left="3741" w:hanging="360"/>
      </w:pPr>
    </w:lvl>
    <w:lvl w:ilvl="5" w:tplc="0427001B" w:tentative="1">
      <w:start w:val="1"/>
      <w:numFmt w:val="lowerRoman"/>
      <w:lvlText w:val="%6."/>
      <w:lvlJc w:val="right"/>
      <w:pPr>
        <w:ind w:left="4461" w:hanging="180"/>
      </w:pPr>
    </w:lvl>
    <w:lvl w:ilvl="6" w:tplc="0427000F" w:tentative="1">
      <w:start w:val="1"/>
      <w:numFmt w:val="decimal"/>
      <w:lvlText w:val="%7."/>
      <w:lvlJc w:val="left"/>
      <w:pPr>
        <w:ind w:left="5181" w:hanging="360"/>
      </w:pPr>
    </w:lvl>
    <w:lvl w:ilvl="7" w:tplc="04270019" w:tentative="1">
      <w:start w:val="1"/>
      <w:numFmt w:val="lowerLetter"/>
      <w:lvlText w:val="%8."/>
      <w:lvlJc w:val="left"/>
      <w:pPr>
        <w:ind w:left="5901" w:hanging="360"/>
      </w:pPr>
    </w:lvl>
    <w:lvl w:ilvl="8" w:tplc="0427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3975004F"/>
    <w:multiLevelType w:val="hybridMultilevel"/>
    <w:tmpl w:val="13E4607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CC4222"/>
    <w:multiLevelType w:val="multilevel"/>
    <w:tmpl w:val="C9C6278E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Arial Unicode MS" w:hint="default"/>
      </w:rPr>
    </w:lvl>
  </w:abstractNum>
  <w:abstractNum w:abstractNumId="8" w15:restartNumberingAfterBreak="0">
    <w:nsid w:val="41953EAB"/>
    <w:multiLevelType w:val="hybridMultilevel"/>
    <w:tmpl w:val="D0F01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B019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B83C1B"/>
    <w:multiLevelType w:val="multilevel"/>
    <w:tmpl w:val="5F3843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1" w15:restartNumberingAfterBreak="0">
    <w:nsid w:val="5A0D73F3"/>
    <w:multiLevelType w:val="hybridMultilevel"/>
    <w:tmpl w:val="CA9A2AC8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E5544"/>
    <w:multiLevelType w:val="hybridMultilevel"/>
    <w:tmpl w:val="B20037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27E1E"/>
    <w:multiLevelType w:val="hybridMultilevel"/>
    <w:tmpl w:val="3D568A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266018"/>
    <w:multiLevelType w:val="hybridMultilevel"/>
    <w:tmpl w:val="AA9C98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92B8C"/>
    <w:multiLevelType w:val="hybridMultilevel"/>
    <w:tmpl w:val="C9C65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763969">
    <w:abstractNumId w:val="8"/>
  </w:num>
  <w:num w:numId="2" w16cid:durableId="844636936">
    <w:abstractNumId w:val="2"/>
  </w:num>
  <w:num w:numId="3" w16cid:durableId="83651721">
    <w:abstractNumId w:val="10"/>
  </w:num>
  <w:num w:numId="4" w16cid:durableId="920262949">
    <w:abstractNumId w:val="9"/>
  </w:num>
  <w:num w:numId="5" w16cid:durableId="1477524625">
    <w:abstractNumId w:val="7"/>
  </w:num>
  <w:num w:numId="6" w16cid:durableId="540017923">
    <w:abstractNumId w:val="6"/>
  </w:num>
  <w:num w:numId="7" w16cid:durableId="1236479362">
    <w:abstractNumId w:val="4"/>
  </w:num>
  <w:num w:numId="8" w16cid:durableId="824786170">
    <w:abstractNumId w:val="14"/>
  </w:num>
  <w:num w:numId="9" w16cid:durableId="1994337129">
    <w:abstractNumId w:val="0"/>
  </w:num>
  <w:num w:numId="10" w16cid:durableId="1504778719">
    <w:abstractNumId w:val="11"/>
  </w:num>
  <w:num w:numId="11" w16cid:durableId="130634881">
    <w:abstractNumId w:val="13"/>
  </w:num>
  <w:num w:numId="12" w16cid:durableId="2075465105">
    <w:abstractNumId w:val="3"/>
  </w:num>
  <w:num w:numId="13" w16cid:durableId="1779064140">
    <w:abstractNumId w:val="5"/>
  </w:num>
  <w:num w:numId="14" w16cid:durableId="2088065061">
    <w:abstractNumId w:val="1"/>
  </w:num>
  <w:num w:numId="15" w16cid:durableId="1421489091">
    <w:abstractNumId w:val="15"/>
  </w:num>
  <w:num w:numId="16" w16cid:durableId="15129913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0E7"/>
    <w:rsid w:val="000001B0"/>
    <w:rsid w:val="00003F5B"/>
    <w:rsid w:val="000114DD"/>
    <w:rsid w:val="000136F7"/>
    <w:rsid w:val="000203E1"/>
    <w:rsid w:val="0002686C"/>
    <w:rsid w:val="00031D0E"/>
    <w:rsid w:val="000337E6"/>
    <w:rsid w:val="0003402E"/>
    <w:rsid w:val="00034EAE"/>
    <w:rsid w:val="00042924"/>
    <w:rsid w:val="000448C6"/>
    <w:rsid w:val="00052BD8"/>
    <w:rsid w:val="00053975"/>
    <w:rsid w:val="00057A2B"/>
    <w:rsid w:val="000606BE"/>
    <w:rsid w:val="000624FF"/>
    <w:rsid w:val="00063A50"/>
    <w:rsid w:val="000723FF"/>
    <w:rsid w:val="000736B8"/>
    <w:rsid w:val="0008190F"/>
    <w:rsid w:val="00081D9C"/>
    <w:rsid w:val="00082907"/>
    <w:rsid w:val="0008378D"/>
    <w:rsid w:val="000908A5"/>
    <w:rsid w:val="00092805"/>
    <w:rsid w:val="000A50C9"/>
    <w:rsid w:val="000A78D0"/>
    <w:rsid w:val="000B1540"/>
    <w:rsid w:val="000B2B2C"/>
    <w:rsid w:val="000C454C"/>
    <w:rsid w:val="000D5038"/>
    <w:rsid w:val="000E29D4"/>
    <w:rsid w:val="000E2B81"/>
    <w:rsid w:val="000F3540"/>
    <w:rsid w:val="00100491"/>
    <w:rsid w:val="00104E2E"/>
    <w:rsid w:val="00107287"/>
    <w:rsid w:val="00117194"/>
    <w:rsid w:val="00117406"/>
    <w:rsid w:val="00121EF0"/>
    <w:rsid w:val="00124A9E"/>
    <w:rsid w:val="00130703"/>
    <w:rsid w:val="0013153F"/>
    <w:rsid w:val="001408B8"/>
    <w:rsid w:val="001466FE"/>
    <w:rsid w:val="001517E2"/>
    <w:rsid w:val="001521D9"/>
    <w:rsid w:val="001554E2"/>
    <w:rsid w:val="00164146"/>
    <w:rsid w:val="00164D64"/>
    <w:rsid w:val="00166FBB"/>
    <w:rsid w:val="0017369C"/>
    <w:rsid w:val="00175D57"/>
    <w:rsid w:val="00180C39"/>
    <w:rsid w:val="00180D96"/>
    <w:rsid w:val="00184BD3"/>
    <w:rsid w:val="001921F3"/>
    <w:rsid w:val="001A0CAA"/>
    <w:rsid w:val="001B3C5B"/>
    <w:rsid w:val="001C2FC8"/>
    <w:rsid w:val="001C6353"/>
    <w:rsid w:val="001D5B91"/>
    <w:rsid w:val="001D746F"/>
    <w:rsid w:val="001E0B2D"/>
    <w:rsid w:val="001E4BBB"/>
    <w:rsid w:val="001E6304"/>
    <w:rsid w:val="001F115E"/>
    <w:rsid w:val="0020381E"/>
    <w:rsid w:val="0021231B"/>
    <w:rsid w:val="00213471"/>
    <w:rsid w:val="00215906"/>
    <w:rsid w:val="00241CD8"/>
    <w:rsid w:val="00244B09"/>
    <w:rsid w:val="002519CB"/>
    <w:rsid w:val="0025697F"/>
    <w:rsid w:val="00260258"/>
    <w:rsid w:val="0026588E"/>
    <w:rsid w:val="00272428"/>
    <w:rsid w:val="00272948"/>
    <w:rsid w:val="00283E59"/>
    <w:rsid w:val="00292392"/>
    <w:rsid w:val="002946C7"/>
    <w:rsid w:val="002B3CC1"/>
    <w:rsid w:val="002C0686"/>
    <w:rsid w:val="002C09E0"/>
    <w:rsid w:val="002C100E"/>
    <w:rsid w:val="002C1BB1"/>
    <w:rsid w:val="002C2786"/>
    <w:rsid w:val="002C3A10"/>
    <w:rsid w:val="002C4A90"/>
    <w:rsid w:val="002C4ED5"/>
    <w:rsid w:val="002D02EF"/>
    <w:rsid w:val="002E0702"/>
    <w:rsid w:val="002E1A83"/>
    <w:rsid w:val="002E57AD"/>
    <w:rsid w:val="002E6F80"/>
    <w:rsid w:val="002F0E4F"/>
    <w:rsid w:val="002F1053"/>
    <w:rsid w:val="00311855"/>
    <w:rsid w:val="00314816"/>
    <w:rsid w:val="00317B0E"/>
    <w:rsid w:val="00336238"/>
    <w:rsid w:val="00340FCD"/>
    <w:rsid w:val="00347FAA"/>
    <w:rsid w:val="0035172D"/>
    <w:rsid w:val="0036187D"/>
    <w:rsid w:val="00367EDB"/>
    <w:rsid w:val="003705F0"/>
    <w:rsid w:val="00381024"/>
    <w:rsid w:val="00386307"/>
    <w:rsid w:val="003874DE"/>
    <w:rsid w:val="00393E9F"/>
    <w:rsid w:val="0039696E"/>
    <w:rsid w:val="003A5D10"/>
    <w:rsid w:val="003B211A"/>
    <w:rsid w:val="003C141F"/>
    <w:rsid w:val="003C6B0E"/>
    <w:rsid w:val="003C7257"/>
    <w:rsid w:val="003C7E35"/>
    <w:rsid w:val="003D1E99"/>
    <w:rsid w:val="003D6208"/>
    <w:rsid w:val="00404E8A"/>
    <w:rsid w:val="0040622F"/>
    <w:rsid w:val="00413F24"/>
    <w:rsid w:val="00422853"/>
    <w:rsid w:val="00423160"/>
    <w:rsid w:val="00437623"/>
    <w:rsid w:val="00444A2B"/>
    <w:rsid w:val="00445902"/>
    <w:rsid w:val="00453862"/>
    <w:rsid w:val="0045469B"/>
    <w:rsid w:val="00461338"/>
    <w:rsid w:val="004677DB"/>
    <w:rsid w:val="00476256"/>
    <w:rsid w:val="0048630F"/>
    <w:rsid w:val="004947A1"/>
    <w:rsid w:val="0049482A"/>
    <w:rsid w:val="004979D3"/>
    <w:rsid w:val="004A00E7"/>
    <w:rsid w:val="004A3A61"/>
    <w:rsid w:val="004B59BA"/>
    <w:rsid w:val="004B5A03"/>
    <w:rsid w:val="004C263A"/>
    <w:rsid w:val="004C6221"/>
    <w:rsid w:val="004D48A6"/>
    <w:rsid w:val="004D70B6"/>
    <w:rsid w:val="004D7B8F"/>
    <w:rsid w:val="004E241F"/>
    <w:rsid w:val="004E6458"/>
    <w:rsid w:val="004E6E7D"/>
    <w:rsid w:val="004F1AAC"/>
    <w:rsid w:val="004F1AE2"/>
    <w:rsid w:val="004F34F0"/>
    <w:rsid w:val="004F3B2B"/>
    <w:rsid w:val="004F6050"/>
    <w:rsid w:val="005005EF"/>
    <w:rsid w:val="005123C2"/>
    <w:rsid w:val="0052144B"/>
    <w:rsid w:val="00524066"/>
    <w:rsid w:val="00526A0F"/>
    <w:rsid w:val="00534E11"/>
    <w:rsid w:val="005378D8"/>
    <w:rsid w:val="005400D9"/>
    <w:rsid w:val="005476A4"/>
    <w:rsid w:val="0055019B"/>
    <w:rsid w:val="00556E63"/>
    <w:rsid w:val="005601A4"/>
    <w:rsid w:val="00566DBB"/>
    <w:rsid w:val="00567982"/>
    <w:rsid w:val="00567B14"/>
    <w:rsid w:val="00574720"/>
    <w:rsid w:val="005767DB"/>
    <w:rsid w:val="005815E6"/>
    <w:rsid w:val="0058712F"/>
    <w:rsid w:val="005976CE"/>
    <w:rsid w:val="005A23D4"/>
    <w:rsid w:val="005A2D1E"/>
    <w:rsid w:val="005A4698"/>
    <w:rsid w:val="005B3756"/>
    <w:rsid w:val="005C493F"/>
    <w:rsid w:val="005C6BF7"/>
    <w:rsid w:val="005C71BF"/>
    <w:rsid w:val="005D002C"/>
    <w:rsid w:val="005D30E1"/>
    <w:rsid w:val="005D6555"/>
    <w:rsid w:val="005D7BDF"/>
    <w:rsid w:val="005E4870"/>
    <w:rsid w:val="005F71D9"/>
    <w:rsid w:val="005F7602"/>
    <w:rsid w:val="006062BE"/>
    <w:rsid w:val="00613143"/>
    <w:rsid w:val="00613501"/>
    <w:rsid w:val="0061611B"/>
    <w:rsid w:val="006166A8"/>
    <w:rsid w:val="006174A1"/>
    <w:rsid w:val="00621D6C"/>
    <w:rsid w:val="00633B49"/>
    <w:rsid w:val="0064297F"/>
    <w:rsid w:val="00645102"/>
    <w:rsid w:val="00646CF3"/>
    <w:rsid w:val="006520FD"/>
    <w:rsid w:val="00653D11"/>
    <w:rsid w:val="00662983"/>
    <w:rsid w:val="006834D3"/>
    <w:rsid w:val="00692625"/>
    <w:rsid w:val="00695CD3"/>
    <w:rsid w:val="006A38B6"/>
    <w:rsid w:val="006B1987"/>
    <w:rsid w:val="006B5B71"/>
    <w:rsid w:val="006B5D3E"/>
    <w:rsid w:val="006B6CB0"/>
    <w:rsid w:val="006C2B64"/>
    <w:rsid w:val="006D1BF3"/>
    <w:rsid w:val="006D4C85"/>
    <w:rsid w:val="006D66AC"/>
    <w:rsid w:val="006E33F6"/>
    <w:rsid w:val="006F1251"/>
    <w:rsid w:val="006F1C23"/>
    <w:rsid w:val="007019BC"/>
    <w:rsid w:val="00702C18"/>
    <w:rsid w:val="00703166"/>
    <w:rsid w:val="007111C4"/>
    <w:rsid w:val="007127F3"/>
    <w:rsid w:val="007301CF"/>
    <w:rsid w:val="007316FB"/>
    <w:rsid w:val="00737E2D"/>
    <w:rsid w:val="007424D5"/>
    <w:rsid w:val="00745C63"/>
    <w:rsid w:val="00750A88"/>
    <w:rsid w:val="007523DD"/>
    <w:rsid w:val="00757B7E"/>
    <w:rsid w:val="007656B2"/>
    <w:rsid w:val="0077016F"/>
    <w:rsid w:val="007713AD"/>
    <w:rsid w:val="00795DC5"/>
    <w:rsid w:val="00797153"/>
    <w:rsid w:val="007A21F7"/>
    <w:rsid w:val="007A2B68"/>
    <w:rsid w:val="007B0DDA"/>
    <w:rsid w:val="007B343C"/>
    <w:rsid w:val="007D3347"/>
    <w:rsid w:val="007D654E"/>
    <w:rsid w:val="007E5466"/>
    <w:rsid w:val="007F1949"/>
    <w:rsid w:val="007F2592"/>
    <w:rsid w:val="00800A08"/>
    <w:rsid w:val="00817A84"/>
    <w:rsid w:val="008225A4"/>
    <w:rsid w:val="00824B92"/>
    <w:rsid w:val="00826D5E"/>
    <w:rsid w:val="00832013"/>
    <w:rsid w:val="00832DB7"/>
    <w:rsid w:val="00834732"/>
    <w:rsid w:val="0085200C"/>
    <w:rsid w:val="00857C52"/>
    <w:rsid w:val="00860D5F"/>
    <w:rsid w:val="0086343D"/>
    <w:rsid w:val="00880A44"/>
    <w:rsid w:val="0088345E"/>
    <w:rsid w:val="0088656F"/>
    <w:rsid w:val="008875BC"/>
    <w:rsid w:val="00891EF6"/>
    <w:rsid w:val="00892FF4"/>
    <w:rsid w:val="0089345A"/>
    <w:rsid w:val="008A0303"/>
    <w:rsid w:val="008A5FDD"/>
    <w:rsid w:val="008B2AFD"/>
    <w:rsid w:val="008C3947"/>
    <w:rsid w:val="008E473B"/>
    <w:rsid w:val="008E51A6"/>
    <w:rsid w:val="008E7329"/>
    <w:rsid w:val="008F2ED5"/>
    <w:rsid w:val="0092297E"/>
    <w:rsid w:val="00923292"/>
    <w:rsid w:val="00923651"/>
    <w:rsid w:val="00924DF7"/>
    <w:rsid w:val="00927B56"/>
    <w:rsid w:val="009341BF"/>
    <w:rsid w:val="00937907"/>
    <w:rsid w:val="00941739"/>
    <w:rsid w:val="00942F88"/>
    <w:rsid w:val="00951573"/>
    <w:rsid w:val="00963003"/>
    <w:rsid w:val="00965919"/>
    <w:rsid w:val="00965BC5"/>
    <w:rsid w:val="00966EEF"/>
    <w:rsid w:val="009716E8"/>
    <w:rsid w:val="00971B28"/>
    <w:rsid w:val="00983471"/>
    <w:rsid w:val="009909AB"/>
    <w:rsid w:val="009B37DB"/>
    <w:rsid w:val="009C54E5"/>
    <w:rsid w:val="009C7A8C"/>
    <w:rsid w:val="009D23F9"/>
    <w:rsid w:val="009D4FA8"/>
    <w:rsid w:val="009E44AE"/>
    <w:rsid w:val="009E6CD6"/>
    <w:rsid w:val="009F4D66"/>
    <w:rsid w:val="00A00C3C"/>
    <w:rsid w:val="00A01091"/>
    <w:rsid w:val="00A042B9"/>
    <w:rsid w:val="00A06DBB"/>
    <w:rsid w:val="00A22ADF"/>
    <w:rsid w:val="00A2310D"/>
    <w:rsid w:val="00A254A2"/>
    <w:rsid w:val="00A31E86"/>
    <w:rsid w:val="00A54D87"/>
    <w:rsid w:val="00A5553C"/>
    <w:rsid w:val="00A701C9"/>
    <w:rsid w:val="00A81785"/>
    <w:rsid w:val="00A84803"/>
    <w:rsid w:val="00A84C51"/>
    <w:rsid w:val="00A86F2B"/>
    <w:rsid w:val="00A91366"/>
    <w:rsid w:val="00A92F91"/>
    <w:rsid w:val="00A93AA6"/>
    <w:rsid w:val="00AA4E48"/>
    <w:rsid w:val="00AA6202"/>
    <w:rsid w:val="00AA7B57"/>
    <w:rsid w:val="00AB2806"/>
    <w:rsid w:val="00AB2D54"/>
    <w:rsid w:val="00AC26FC"/>
    <w:rsid w:val="00AC4A99"/>
    <w:rsid w:val="00AC5129"/>
    <w:rsid w:val="00AC64D2"/>
    <w:rsid w:val="00AD02E7"/>
    <w:rsid w:val="00AE0FE8"/>
    <w:rsid w:val="00AF60D5"/>
    <w:rsid w:val="00B00959"/>
    <w:rsid w:val="00B04415"/>
    <w:rsid w:val="00B06509"/>
    <w:rsid w:val="00B11D60"/>
    <w:rsid w:val="00B13D65"/>
    <w:rsid w:val="00B21805"/>
    <w:rsid w:val="00B3072E"/>
    <w:rsid w:val="00B36E15"/>
    <w:rsid w:val="00B37245"/>
    <w:rsid w:val="00B4017A"/>
    <w:rsid w:val="00B4468D"/>
    <w:rsid w:val="00B71C72"/>
    <w:rsid w:val="00B71F04"/>
    <w:rsid w:val="00B74A62"/>
    <w:rsid w:val="00B811A4"/>
    <w:rsid w:val="00B81E92"/>
    <w:rsid w:val="00B908D7"/>
    <w:rsid w:val="00B935E8"/>
    <w:rsid w:val="00B93B30"/>
    <w:rsid w:val="00B94CB5"/>
    <w:rsid w:val="00BA0DD9"/>
    <w:rsid w:val="00BA5DBC"/>
    <w:rsid w:val="00BA6584"/>
    <w:rsid w:val="00BB6312"/>
    <w:rsid w:val="00BC39C2"/>
    <w:rsid w:val="00BC4D06"/>
    <w:rsid w:val="00BD05E1"/>
    <w:rsid w:val="00BD585E"/>
    <w:rsid w:val="00BD6919"/>
    <w:rsid w:val="00BE1EA7"/>
    <w:rsid w:val="00BE7489"/>
    <w:rsid w:val="00BF2E0D"/>
    <w:rsid w:val="00BF3927"/>
    <w:rsid w:val="00BF3F8B"/>
    <w:rsid w:val="00BF76DA"/>
    <w:rsid w:val="00C00CDB"/>
    <w:rsid w:val="00C07C7B"/>
    <w:rsid w:val="00C16245"/>
    <w:rsid w:val="00C22DC5"/>
    <w:rsid w:val="00C24479"/>
    <w:rsid w:val="00C273F2"/>
    <w:rsid w:val="00C327CB"/>
    <w:rsid w:val="00C37B53"/>
    <w:rsid w:val="00C434EB"/>
    <w:rsid w:val="00C517D2"/>
    <w:rsid w:val="00C5772E"/>
    <w:rsid w:val="00C62B36"/>
    <w:rsid w:val="00C7012C"/>
    <w:rsid w:val="00C712EA"/>
    <w:rsid w:val="00C9728E"/>
    <w:rsid w:val="00CA217D"/>
    <w:rsid w:val="00CA3131"/>
    <w:rsid w:val="00CC09D4"/>
    <w:rsid w:val="00CC4F5F"/>
    <w:rsid w:val="00CC668D"/>
    <w:rsid w:val="00CC7832"/>
    <w:rsid w:val="00CD488E"/>
    <w:rsid w:val="00CE4B0B"/>
    <w:rsid w:val="00CF0C1C"/>
    <w:rsid w:val="00CF27FD"/>
    <w:rsid w:val="00CF5F12"/>
    <w:rsid w:val="00D00D8F"/>
    <w:rsid w:val="00D0357A"/>
    <w:rsid w:val="00D12869"/>
    <w:rsid w:val="00D14512"/>
    <w:rsid w:val="00D15ED6"/>
    <w:rsid w:val="00D21F3A"/>
    <w:rsid w:val="00D23808"/>
    <w:rsid w:val="00D3016A"/>
    <w:rsid w:val="00D417D2"/>
    <w:rsid w:val="00D42960"/>
    <w:rsid w:val="00D43BD7"/>
    <w:rsid w:val="00D4485B"/>
    <w:rsid w:val="00D46CCD"/>
    <w:rsid w:val="00D4708D"/>
    <w:rsid w:val="00D4744C"/>
    <w:rsid w:val="00D51046"/>
    <w:rsid w:val="00D521DE"/>
    <w:rsid w:val="00D5470B"/>
    <w:rsid w:val="00D63068"/>
    <w:rsid w:val="00D6498C"/>
    <w:rsid w:val="00D67BAF"/>
    <w:rsid w:val="00D76A70"/>
    <w:rsid w:val="00D83182"/>
    <w:rsid w:val="00D8521E"/>
    <w:rsid w:val="00D9291C"/>
    <w:rsid w:val="00D93A97"/>
    <w:rsid w:val="00DA189E"/>
    <w:rsid w:val="00DA5602"/>
    <w:rsid w:val="00DB1F64"/>
    <w:rsid w:val="00DB1FCF"/>
    <w:rsid w:val="00DC261A"/>
    <w:rsid w:val="00DC2F53"/>
    <w:rsid w:val="00DC5BAC"/>
    <w:rsid w:val="00DC6816"/>
    <w:rsid w:val="00DC76C2"/>
    <w:rsid w:val="00DD1CF2"/>
    <w:rsid w:val="00DE4484"/>
    <w:rsid w:val="00DF41B7"/>
    <w:rsid w:val="00DF4A4A"/>
    <w:rsid w:val="00DF583C"/>
    <w:rsid w:val="00E03C3F"/>
    <w:rsid w:val="00E06FD7"/>
    <w:rsid w:val="00E07417"/>
    <w:rsid w:val="00E24D45"/>
    <w:rsid w:val="00E33DB8"/>
    <w:rsid w:val="00E33EFF"/>
    <w:rsid w:val="00E34387"/>
    <w:rsid w:val="00E348BA"/>
    <w:rsid w:val="00E369FE"/>
    <w:rsid w:val="00E37C6F"/>
    <w:rsid w:val="00E475F8"/>
    <w:rsid w:val="00E5102E"/>
    <w:rsid w:val="00E553D6"/>
    <w:rsid w:val="00E5721C"/>
    <w:rsid w:val="00E619C6"/>
    <w:rsid w:val="00E70CED"/>
    <w:rsid w:val="00E745A1"/>
    <w:rsid w:val="00E81529"/>
    <w:rsid w:val="00E83A13"/>
    <w:rsid w:val="00EB1151"/>
    <w:rsid w:val="00EB6FC5"/>
    <w:rsid w:val="00EC2356"/>
    <w:rsid w:val="00EC2582"/>
    <w:rsid w:val="00EC337C"/>
    <w:rsid w:val="00ED0CFF"/>
    <w:rsid w:val="00ED31D2"/>
    <w:rsid w:val="00EE0EAC"/>
    <w:rsid w:val="00EE3322"/>
    <w:rsid w:val="00EE33CB"/>
    <w:rsid w:val="00EF4459"/>
    <w:rsid w:val="00F0061A"/>
    <w:rsid w:val="00F02834"/>
    <w:rsid w:val="00F04EEB"/>
    <w:rsid w:val="00F05467"/>
    <w:rsid w:val="00F055D2"/>
    <w:rsid w:val="00F07CD7"/>
    <w:rsid w:val="00F127E9"/>
    <w:rsid w:val="00F14477"/>
    <w:rsid w:val="00F14B5D"/>
    <w:rsid w:val="00F206B6"/>
    <w:rsid w:val="00F259FC"/>
    <w:rsid w:val="00F313F4"/>
    <w:rsid w:val="00F36972"/>
    <w:rsid w:val="00F42426"/>
    <w:rsid w:val="00F44F01"/>
    <w:rsid w:val="00F456BC"/>
    <w:rsid w:val="00F50666"/>
    <w:rsid w:val="00F70731"/>
    <w:rsid w:val="00F70C9E"/>
    <w:rsid w:val="00F74A74"/>
    <w:rsid w:val="00F7572C"/>
    <w:rsid w:val="00F8382C"/>
    <w:rsid w:val="00F855D7"/>
    <w:rsid w:val="00F92035"/>
    <w:rsid w:val="00F92748"/>
    <w:rsid w:val="00FA4169"/>
    <w:rsid w:val="00FB0D41"/>
    <w:rsid w:val="00FB10DF"/>
    <w:rsid w:val="00FB2030"/>
    <w:rsid w:val="00FD0E46"/>
    <w:rsid w:val="00FD1060"/>
    <w:rsid w:val="00FD1CF2"/>
    <w:rsid w:val="00FD3EDF"/>
    <w:rsid w:val="00FD793C"/>
    <w:rsid w:val="00FE0FD5"/>
    <w:rsid w:val="00FE20E6"/>
    <w:rsid w:val="00FE3E3B"/>
    <w:rsid w:val="00FE5878"/>
    <w:rsid w:val="00FF4032"/>
    <w:rsid w:val="00FF4A2E"/>
    <w:rsid w:val="00FF6469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FE6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152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84C51"/>
    <w:pPr>
      <w:keepNext/>
      <w:jc w:val="center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A84C51"/>
    <w:pPr>
      <w:keepNext/>
      <w:jc w:val="center"/>
      <w:outlineLvl w:val="1"/>
    </w:pPr>
    <w:rPr>
      <w:b/>
      <w:bCs/>
      <w:cap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4C51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rsid w:val="00A84C51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A84C51"/>
  </w:style>
  <w:style w:type="character" w:styleId="Hyperlink">
    <w:name w:val="Hyperlink"/>
    <w:basedOn w:val="DefaultParagraphFont"/>
    <w:rsid w:val="00A84C51"/>
    <w:rPr>
      <w:color w:val="0000FF"/>
      <w:u w:val="single"/>
    </w:rPr>
  </w:style>
  <w:style w:type="paragraph" w:styleId="BalloonText">
    <w:name w:val="Balloon Text"/>
    <w:basedOn w:val="Normal"/>
    <w:semiHidden/>
    <w:rsid w:val="00EC2356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737E2D"/>
    <w:rPr>
      <w:sz w:val="24"/>
      <w:szCs w:val="24"/>
      <w:lang w:eastAsia="en-US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A31E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31E86"/>
    <w:rPr>
      <w:color w:val="800080" w:themeColor="followedHyperlink"/>
      <w:u w:val="single"/>
    </w:rPr>
  </w:style>
  <w:style w:type="table" w:styleId="TableGrid">
    <w:name w:val="Table Grid"/>
    <w:basedOn w:val="TableNormal"/>
    <w:rsid w:val="00D42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C701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701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012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0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012C"/>
    <w:rPr>
      <w:b/>
      <w:bCs/>
      <w:lang w:eastAsia="en-US"/>
    </w:rPr>
  </w:style>
  <w:style w:type="paragraph" w:styleId="ListParagraph">
    <w:name w:val="List Paragraph"/>
    <w:aliases w:val="Bullet List,Bullet1,Use Case List Paragraph,List Paragraph1,Body Bullet,Table Number Paragraph,Colorful List - Accent 11,List Paragraph 1,Ref,B1,Figure_name,bu1,bu1 + Before:  0 pt,After:  6 pt,Bullet for no #'s,Paragraph,lp1,Bullet 1"/>
    <w:basedOn w:val="Normal"/>
    <w:link w:val="ListParagraphChar"/>
    <w:uiPriority w:val="34"/>
    <w:qFormat/>
    <w:rsid w:val="00104E2E"/>
    <w:pPr>
      <w:ind w:left="720"/>
      <w:contextualSpacing/>
    </w:pPr>
  </w:style>
  <w:style w:type="character" w:customStyle="1" w:styleId="Style2">
    <w:name w:val="Style2"/>
    <w:basedOn w:val="DefaultParagraphFont"/>
    <w:uiPriority w:val="1"/>
    <w:rsid w:val="00D6498C"/>
    <w:rPr>
      <w:sz w:val="32"/>
    </w:rPr>
  </w:style>
  <w:style w:type="character" w:styleId="PlaceholderText">
    <w:name w:val="Placeholder Text"/>
    <w:basedOn w:val="DefaultParagraphFont"/>
    <w:uiPriority w:val="99"/>
    <w:rsid w:val="00B13D65"/>
    <w:rPr>
      <w:color w:val="808080"/>
    </w:rPr>
  </w:style>
  <w:style w:type="paragraph" w:styleId="NoSpacing">
    <w:name w:val="No Spacing"/>
    <w:uiPriority w:val="1"/>
    <w:qFormat/>
    <w:rsid w:val="00B13D65"/>
    <w:rPr>
      <w:rFonts w:ascii="Calibri" w:eastAsia="Calibri" w:hAnsi="Calibri"/>
      <w:sz w:val="22"/>
      <w:szCs w:val="22"/>
      <w:lang w:eastAsia="en-US"/>
    </w:rPr>
  </w:style>
  <w:style w:type="table" w:customStyle="1" w:styleId="Lentelstinklelis1">
    <w:name w:val="Lentelės tinklelis1"/>
    <w:basedOn w:val="TableNormal"/>
    <w:next w:val="TableGrid"/>
    <w:rsid w:val="009E44AE"/>
    <w:rPr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6256"/>
    <w:rPr>
      <w:sz w:val="24"/>
      <w:szCs w:val="24"/>
      <w:lang w:eastAsia="en-US"/>
    </w:rPr>
  </w:style>
  <w:style w:type="character" w:customStyle="1" w:styleId="ListParagraphChar">
    <w:name w:val="List Paragraph Char"/>
    <w:aliases w:val="Bullet List Char,Bullet1 Char,Use Case List Paragraph Char,List Paragraph1 Char,Body Bullet Char,Table Number Paragraph Char,Colorful List - Accent 11 Char,List Paragraph 1 Char,Ref Char,B1 Char,Figure_name Char,bu1 Char,lp1 Char"/>
    <w:basedOn w:val="DefaultParagraphFont"/>
    <w:link w:val="ListParagraph"/>
    <w:uiPriority w:val="34"/>
    <w:rsid w:val="0021231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16A5A0209F4FEEB4A56B4F0787672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B297CD3-7A94-4295-8262-55D465D3E5B0}"/>
      </w:docPartPr>
      <w:docPartBody>
        <w:p w:rsidR="00DC4F63" w:rsidRDefault="00F5428A" w:rsidP="00F5428A">
          <w:pPr>
            <w:pStyle w:val="1116A5A0209F4FEEB4A56B4F0787672E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880DBC9B34254735AA683A209FD864B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C599819-B7BE-4DF0-BD5A-2FBE389C5CA0}"/>
      </w:docPartPr>
      <w:docPartBody>
        <w:p w:rsidR="00DC4F63" w:rsidRDefault="00F5428A" w:rsidP="00F5428A">
          <w:pPr>
            <w:pStyle w:val="880DBC9B34254735AA683A209FD864B3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B4E98B8544064E65B974452EDF26436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DAECEEB-8016-45F3-B3A6-6E387E055A13}"/>
      </w:docPartPr>
      <w:docPartBody>
        <w:p w:rsidR="00DC4F63" w:rsidRDefault="00F5428A" w:rsidP="00F5428A">
          <w:pPr>
            <w:pStyle w:val="B4E98B8544064E65B974452EDF264361"/>
          </w:pPr>
          <w:r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DD"/>
    <w:rsid w:val="0001247F"/>
    <w:rsid w:val="00047C19"/>
    <w:rsid w:val="00061157"/>
    <w:rsid w:val="000624FF"/>
    <w:rsid w:val="000937FE"/>
    <w:rsid w:val="000A50C9"/>
    <w:rsid w:val="000A559A"/>
    <w:rsid w:val="000A78D0"/>
    <w:rsid w:val="000B1540"/>
    <w:rsid w:val="000D24D4"/>
    <w:rsid w:val="000D6217"/>
    <w:rsid w:val="0014006D"/>
    <w:rsid w:val="001828CB"/>
    <w:rsid w:val="001C35A9"/>
    <w:rsid w:val="00237556"/>
    <w:rsid w:val="002C0686"/>
    <w:rsid w:val="0039303B"/>
    <w:rsid w:val="003E4D65"/>
    <w:rsid w:val="004144A3"/>
    <w:rsid w:val="004160E7"/>
    <w:rsid w:val="00425FB2"/>
    <w:rsid w:val="004416C6"/>
    <w:rsid w:val="00456E96"/>
    <w:rsid w:val="004C6221"/>
    <w:rsid w:val="004D038D"/>
    <w:rsid w:val="004F4E20"/>
    <w:rsid w:val="004F5AB2"/>
    <w:rsid w:val="005074B9"/>
    <w:rsid w:val="00563A5F"/>
    <w:rsid w:val="005C62E5"/>
    <w:rsid w:val="005E40DD"/>
    <w:rsid w:val="00601F4E"/>
    <w:rsid w:val="006E6A2C"/>
    <w:rsid w:val="007219C1"/>
    <w:rsid w:val="00745C63"/>
    <w:rsid w:val="00753462"/>
    <w:rsid w:val="00772325"/>
    <w:rsid w:val="007A2FE0"/>
    <w:rsid w:val="007C6D1D"/>
    <w:rsid w:val="007D654E"/>
    <w:rsid w:val="00892FF4"/>
    <w:rsid w:val="008C0DC0"/>
    <w:rsid w:val="008C671F"/>
    <w:rsid w:val="0090074D"/>
    <w:rsid w:val="00901A35"/>
    <w:rsid w:val="00942F88"/>
    <w:rsid w:val="009716E8"/>
    <w:rsid w:val="009B3BF0"/>
    <w:rsid w:val="009D5E5E"/>
    <w:rsid w:val="009F1BB4"/>
    <w:rsid w:val="00A20D39"/>
    <w:rsid w:val="00A254A2"/>
    <w:rsid w:val="00AB2D54"/>
    <w:rsid w:val="00AB6ED4"/>
    <w:rsid w:val="00B14210"/>
    <w:rsid w:val="00B22ED6"/>
    <w:rsid w:val="00B23DC0"/>
    <w:rsid w:val="00B71F04"/>
    <w:rsid w:val="00B96656"/>
    <w:rsid w:val="00BA0A8E"/>
    <w:rsid w:val="00BE3364"/>
    <w:rsid w:val="00C2401D"/>
    <w:rsid w:val="00C250D7"/>
    <w:rsid w:val="00C327CB"/>
    <w:rsid w:val="00C53A68"/>
    <w:rsid w:val="00C66578"/>
    <w:rsid w:val="00CA5BB4"/>
    <w:rsid w:val="00CB4BD1"/>
    <w:rsid w:val="00CD139C"/>
    <w:rsid w:val="00CD70A6"/>
    <w:rsid w:val="00CE2DA9"/>
    <w:rsid w:val="00CE44BE"/>
    <w:rsid w:val="00D008F3"/>
    <w:rsid w:val="00D0142D"/>
    <w:rsid w:val="00D04DFF"/>
    <w:rsid w:val="00D15ED6"/>
    <w:rsid w:val="00D20347"/>
    <w:rsid w:val="00D4356B"/>
    <w:rsid w:val="00D7162F"/>
    <w:rsid w:val="00DA189E"/>
    <w:rsid w:val="00DA599C"/>
    <w:rsid w:val="00DB4DB5"/>
    <w:rsid w:val="00DC4F63"/>
    <w:rsid w:val="00DE4D10"/>
    <w:rsid w:val="00E44A86"/>
    <w:rsid w:val="00E522EB"/>
    <w:rsid w:val="00E60827"/>
    <w:rsid w:val="00EF6E0C"/>
    <w:rsid w:val="00F14477"/>
    <w:rsid w:val="00F206B6"/>
    <w:rsid w:val="00F370E5"/>
    <w:rsid w:val="00F5428A"/>
    <w:rsid w:val="00F55028"/>
    <w:rsid w:val="00F677F0"/>
    <w:rsid w:val="00F77BEF"/>
    <w:rsid w:val="00FC755C"/>
    <w:rsid w:val="00FE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5428A"/>
    <w:rPr>
      <w:color w:val="808080"/>
    </w:rPr>
  </w:style>
  <w:style w:type="paragraph" w:customStyle="1" w:styleId="1116A5A0209F4FEEB4A56B4F0787672E">
    <w:name w:val="1116A5A0209F4FEEB4A56B4F0787672E"/>
    <w:rsid w:val="00F5428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0DBC9B34254735AA683A209FD864B3">
    <w:name w:val="880DBC9B34254735AA683A209FD864B3"/>
    <w:rsid w:val="00F5428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E98B8544064E65B974452EDF264361">
    <w:name w:val="B4E98B8544064E65B974452EDF264361"/>
    <w:rsid w:val="00F5428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C00EC-5F90-4C0F-B1DE-D37B28467E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7cd41d-f0df-44e5-aea8-cb12e7ea80cd}" enabled="0" method="" siteId="{397cd41d-f0df-44e5-aea8-cb12e7ea80c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8127</Characters>
  <Application>Microsoft Office Word</Application>
  <DocSecurity>0</DocSecurity>
  <Lines>165</Lines>
  <Paragraphs>66</Paragraphs>
  <ScaleCrop>false</ScaleCrop>
  <Company/>
  <LinksUpToDate>false</LinksUpToDate>
  <CharactersWithSpaces>9200</CharactersWithSpaces>
  <SharedDoc>false</SharedDoc>
  <HLinks>
    <vt:vector size="6" baseType="variant">
      <vt:variant>
        <vt:i4>5308539</vt:i4>
      </vt:variant>
      <vt:variant>
        <vt:i4>6</vt:i4>
      </vt:variant>
      <vt:variant>
        <vt:i4>0</vt:i4>
      </vt:variant>
      <vt:variant>
        <vt:i4>5</vt:i4>
      </vt:variant>
      <vt:variant>
        <vt:lpwstr>mailto:vvkt@vvkt.lt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2026-10-05T11:09:00Z</dcterms:created>
  <dcterms:modified xsi:type="dcterms:W3CDTF">2026-10-05T11:09:00Z</dcterms:modified>
</cp:coreProperties>
</file>