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5EB3" w14:textId="1955ADE3" w:rsidR="005F7602" w:rsidRPr="002D4FD8" w:rsidRDefault="005F7602" w:rsidP="002946C7">
      <w:pPr>
        <w:ind w:left="5529"/>
      </w:pPr>
    </w:p>
    <w:p w14:paraId="12FA4B9E" w14:textId="39AA3336" w:rsidR="001B3C5B" w:rsidRPr="002D4FD8" w:rsidRDefault="00DC261A" w:rsidP="001B3C5B">
      <w:pPr>
        <w:ind w:left="6096"/>
      </w:pPr>
      <w:bookmarkStart w:id="0" w:name="_Hlk189565243"/>
      <w:r w:rsidRPr="002D4FD8">
        <w:t>PATVIRTINTA</w:t>
      </w:r>
    </w:p>
    <w:p w14:paraId="7206970B" w14:textId="70E9BD2E" w:rsidR="004C263A" w:rsidRPr="002D4FD8" w:rsidRDefault="001B3C5B" w:rsidP="001B3C5B">
      <w:pPr>
        <w:ind w:left="6096"/>
      </w:pPr>
      <w:r w:rsidRPr="002D4FD8">
        <w:t>Valstybinės vaistų kontrolės tarnybos prie Lietuvos Respublikos sveikatos apsaugos ministerijos viršininko 2021 m</w:t>
      </w:r>
      <w:r w:rsidR="004C263A" w:rsidRPr="002D4FD8">
        <w:t xml:space="preserve">. lapkričio 12 </w:t>
      </w:r>
      <w:r w:rsidRPr="002D4FD8">
        <w:t>d. įsakymu Nr.</w:t>
      </w:r>
      <w:r w:rsidR="004C263A" w:rsidRPr="002D4FD8">
        <w:t xml:space="preserve"> (1.72E)1A-1418</w:t>
      </w:r>
    </w:p>
    <w:p w14:paraId="5B219AA6" w14:textId="3A5D6CB4" w:rsidR="001B3C5B" w:rsidRPr="002D4FD8" w:rsidRDefault="004C263A" w:rsidP="001B3C5B">
      <w:pPr>
        <w:ind w:left="6096"/>
      </w:pPr>
      <w:r w:rsidRPr="002D4FD8">
        <w:t>(Valstybinės vaistų kontrolės tarnybos prie Lietuvos Respublikos sveikatos apsaugos ministerijos viršininko 202</w:t>
      </w:r>
      <w:r w:rsidR="00A2310D" w:rsidRPr="002D4FD8">
        <w:t>5</w:t>
      </w:r>
      <w:r w:rsidRPr="002D4FD8">
        <w:t xml:space="preserve"> m.                         d. įsakymo Nr.                    redakcija)</w:t>
      </w:r>
    </w:p>
    <w:bookmarkEnd w:id="0"/>
    <w:p w14:paraId="56604434" w14:textId="77777777" w:rsidR="00DC261A" w:rsidRPr="002D4FD8" w:rsidRDefault="00DC261A" w:rsidP="003B211A">
      <w:pPr>
        <w:jc w:val="center"/>
        <w:rPr>
          <w:b/>
        </w:rPr>
      </w:pPr>
    </w:p>
    <w:p w14:paraId="77AFB67E" w14:textId="0FB133A2" w:rsidR="00613501" w:rsidRPr="002D4FD8" w:rsidRDefault="002F0E4F" w:rsidP="003B211A">
      <w:pPr>
        <w:jc w:val="center"/>
        <w:rPr>
          <w:b/>
          <w:bCs/>
          <w:caps/>
        </w:rPr>
      </w:pPr>
      <w:r w:rsidRPr="002D4FD8">
        <w:rPr>
          <w:b/>
        </w:rPr>
        <w:t xml:space="preserve">REKOMENDACIJA DĖL VAISTINIO PREPARATO </w:t>
      </w:r>
      <w:r w:rsidRPr="002D4FD8">
        <w:rPr>
          <w:b/>
          <w:bCs/>
          <w:caps/>
        </w:rPr>
        <w:t>Lietuvos Respublikos Sveikatos apsaugos ministerijos vaistinių preparatų ir medicinos pagalbos priemonių kompensavimo komisijai</w:t>
      </w:r>
    </w:p>
    <w:p w14:paraId="34E4395D" w14:textId="15FB10DF" w:rsidR="00B13D65" w:rsidRPr="002D4FD8" w:rsidRDefault="00B13D65" w:rsidP="003B211A">
      <w:pPr>
        <w:jc w:val="center"/>
        <w:rPr>
          <w:b/>
        </w:rPr>
      </w:pPr>
    </w:p>
    <w:p w14:paraId="4DA93828" w14:textId="77777777" w:rsidR="008806F0" w:rsidRPr="002D4FD8" w:rsidRDefault="008806F0" w:rsidP="008806F0">
      <w:pPr>
        <w:jc w:val="center"/>
        <w:rPr>
          <w:b/>
        </w:rPr>
      </w:pPr>
      <w:r w:rsidRPr="002D4FD8">
        <w:rPr>
          <w:b/>
        </w:rPr>
        <w:t>Libtayo 350 mg koncentratas infuziniam tirpalui</w:t>
      </w:r>
    </w:p>
    <w:p w14:paraId="6FDC426D" w14:textId="77777777" w:rsidR="008806F0" w:rsidRPr="002D4FD8" w:rsidRDefault="008806F0" w:rsidP="008806F0">
      <w:pPr>
        <w:jc w:val="center"/>
      </w:pPr>
    </w:p>
    <w:p w14:paraId="6FED3F03" w14:textId="77777777" w:rsidR="008806F0" w:rsidRPr="002D4FD8" w:rsidRDefault="008806F0" w:rsidP="008806F0">
      <w:pPr>
        <w:jc w:val="center"/>
      </w:pPr>
      <w:r w:rsidRPr="002D4FD8">
        <w:rPr>
          <w:b/>
        </w:rPr>
        <w:t>Cemiplimabas</w:t>
      </w:r>
    </w:p>
    <w:p w14:paraId="7B975A2F" w14:textId="77777777" w:rsidR="008806F0" w:rsidRPr="002D4FD8" w:rsidRDefault="008806F0" w:rsidP="008806F0">
      <w:pPr>
        <w:jc w:val="center"/>
      </w:pPr>
    </w:p>
    <w:p w14:paraId="786BC644" w14:textId="77777777" w:rsidR="008806F0" w:rsidRPr="002D4FD8" w:rsidRDefault="008806F0" w:rsidP="008806F0">
      <w:pPr>
        <w:spacing w:line="280" w:lineRule="atLeast"/>
        <w:jc w:val="center"/>
        <w:rPr>
          <w:b/>
        </w:rPr>
      </w:pPr>
      <w:r w:rsidRPr="002D4FD8">
        <w:rPr>
          <w:b/>
        </w:rPr>
        <w:t>STV-289</w:t>
      </w:r>
    </w:p>
    <w:p w14:paraId="453197C8" w14:textId="77777777" w:rsidR="00D4708D" w:rsidRPr="002D4FD8" w:rsidRDefault="00D4708D" w:rsidP="003B211A">
      <w:pPr>
        <w:jc w:val="center"/>
        <w:rPr>
          <w:b/>
        </w:rPr>
      </w:pPr>
    </w:p>
    <w:p w14:paraId="78C89D1C" w14:textId="0DEFFAA5" w:rsidR="00D4485B" w:rsidRPr="002D4FD8" w:rsidRDefault="00B13D65" w:rsidP="00CC09D4">
      <w:pPr>
        <w:pStyle w:val="ListParagraph"/>
        <w:numPr>
          <w:ilvl w:val="0"/>
          <w:numId w:val="12"/>
        </w:numPr>
        <w:tabs>
          <w:tab w:val="left" w:pos="567"/>
        </w:tabs>
        <w:ind w:left="567" w:hanging="567"/>
        <w:rPr>
          <w:b/>
          <w:bCs/>
          <w:caps/>
        </w:rPr>
      </w:pPr>
      <w:r w:rsidRPr="002D4FD8">
        <w:rPr>
          <w:b/>
          <w:bCs/>
          <w:caps/>
        </w:rPr>
        <w:t>Bendroji dalis</w:t>
      </w:r>
    </w:p>
    <w:p w14:paraId="04A7C7A7" w14:textId="77777777" w:rsidR="00B13D65" w:rsidRPr="002D4FD8" w:rsidRDefault="00B13D65" w:rsidP="00E03C3F">
      <w:pPr>
        <w:pStyle w:val="ListParagraph"/>
        <w:tabs>
          <w:tab w:val="left" w:pos="284"/>
        </w:tabs>
        <w:ind w:left="0"/>
        <w:rPr>
          <w:b/>
          <w:bCs/>
          <w:caps/>
        </w:rPr>
      </w:pPr>
    </w:p>
    <w:tbl>
      <w:tblPr>
        <w:tblStyle w:val="TableGrid"/>
        <w:tblW w:w="9493" w:type="dxa"/>
        <w:tblLook w:val="04A0" w:firstRow="1" w:lastRow="0" w:firstColumn="1" w:lastColumn="0" w:noHBand="0" w:noVBand="1"/>
      </w:tblPr>
      <w:tblGrid>
        <w:gridCol w:w="632"/>
        <w:gridCol w:w="3899"/>
        <w:gridCol w:w="4962"/>
      </w:tblGrid>
      <w:tr w:rsidR="00D70D2C" w:rsidRPr="002D4FD8" w14:paraId="16A7BC7B" w14:textId="77777777" w:rsidTr="003F3FFF">
        <w:trPr>
          <w:trHeight w:val="538"/>
        </w:trPr>
        <w:tc>
          <w:tcPr>
            <w:tcW w:w="632" w:type="dxa"/>
          </w:tcPr>
          <w:p w14:paraId="4572808D" w14:textId="77777777" w:rsidR="00D70D2C" w:rsidRPr="002D4FD8" w:rsidRDefault="00D70D2C" w:rsidP="00D70D2C">
            <w:pPr>
              <w:rPr>
                <w:rFonts w:eastAsia="Arial"/>
                <w:b/>
                <w:bCs/>
              </w:rPr>
            </w:pPr>
            <w:r w:rsidRPr="002D4FD8">
              <w:rPr>
                <w:rFonts w:eastAsia="Arial"/>
                <w:b/>
                <w:bCs/>
              </w:rPr>
              <w:t>1.1</w:t>
            </w:r>
          </w:p>
        </w:tc>
        <w:tc>
          <w:tcPr>
            <w:tcW w:w="3899" w:type="dxa"/>
          </w:tcPr>
          <w:p w14:paraId="54BA6EB3" w14:textId="77777777" w:rsidR="00D70D2C" w:rsidRPr="002D4FD8" w:rsidRDefault="00D70D2C" w:rsidP="00D70D2C">
            <w:pPr>
              <w:rPr>
                <w:rFonts w:eastAsia="Arial"/>
                <w:b/>
                <w:bCs/>
              </w:rPr>
            </w:pPr>
            <w:r w:rsidRPr="002D4FD8">
              <w:rPr>
                <w:rFonts w:eastAsia="Arial"/>
                <w:b/>
                <w:bCs/>
              </w:rPr>
              <w:t>Pareiškėjas/ pareiškėjo atstovas</w:t>
            </w:r>
          </w:p>
        </w:tc>
        <w:tc>
          <w:tcPr>
            <w:tcW w:w="4962" w:type="dxa"/>
          </w:tcPr>
          <w:p w14:paraId="0F359BD4" w14:textId="045C39AD" w:rsidR="00D70D2C" w:rsidRPr="002D4FD8" w:rsidRDefault="00D70D2C" w:rsidP="00D70D2C">
            <w:pPr>
              <w:rPr>
                <w:rFonts w:eastAsia="Arial"/>
              </w:rPr>
            </w:pPr>
            <w:r w:rsidRPr="002D4FD8">
              <w:t>Medison Pharma Lithuania, UAB</w:t>
            </w:r>
          </w:p>
        </w:tc>
      </w:tr>
      <w:tr w:rsidR="00D70D2C" w:rsidRPr="002D4FD8" w14:paraId="101EA148" w14:textId="77777777" w:rsidTr="003F3FFF">
        <w:trPr>
          <w:trHeight w:val="538"/>
        </w:trPr>
        <w:tc>
          <w:tcPr>
            <w:tcW w:w="632" w:type="dxa"/>
          </w:tcPr>
          <w:p w14:paraId="3BF67175" w14:textId="77777777" w:rsidR="00D70D2C" w:rsidRPr="002D4FD8" w:rsidRDefault="00D70D2C" w:rsidP="00D70D2C">
            <w:pPr>
              <w:rPr>
                <w:rFonts w:eastAsia="Arial"/>
                <w:b/>
                <w:bCs/>
              </w:rPr>
            </w:pPr>
            <w:r w:rsidRPr="002D4FD8">
              <w:rPr>
                <w:rFonts w:eastAsia="Arial"/>
                <w:b/>
                <w:bCs/>
              </w:rPr>
              <w:t>1.2</w:t>
            </w:r>
          </w:p>
        </w:tc>
        <w:tc>
          <w:tcPr>
            <w:tcW w:w="3899" w:type="dxa"/>
          </w:tcPr>
          <w:p w14:paraId="786B66DF" w14:textId="77777777" w:rsidR="00D70D2C" w:rsidRPr="002D4FD8" w:rsidRDefault="00D70D2C" w:rsidP="00D70D2C">
            <w:pPr>
              <w:rPr>
                <w:b/>
                <w:bCs/>
                <w:lang w:eastAsia="lt-LT"/>
              </w:rPr>
            </w:pPr>
            <w:r w:rsidRPr="002D4FD8">
              <w:rPr>
                <w:b/>
                <w:bCs/>
                <w:lang w:eastAsia="lt-LT"/>
              </w:rPr>
              <w:t xml:space="preserve">Vaistinio preparato registracijos data </w:t>
            </w:r>
          </w:p>
          <w:p w14:paraId="4B568341" w14:textId="77777777" w:rsidR="00D70D2C" w:rsidRPr="002D4FD8" w:rsidRDefault="00D70D2C" w:rsidP="00D70D2C">
            <w:pPr>
              <w:rPr>
                <w:b/>
                <w:bCs/>
                <w:lang w:eastAsia="lt-LT"/>
              </w:rPr>
            </w:pPr>
          </w:p>
        </w:tc>
        <w:tc>
          <w:tcPr>
            <w:tcW w:w="4962" w:type="dxa"/>
          </w:tcPr>
          <w:p w14:paraId="50F63366" w14:textId="3CDAE8C6" w:rsidR="00D70D2C" w:rsidRPr="002D4FD8" w:rsidRDefault="00000000" w:rsidP="00D70D2C">
            <w:pPr>
              <w:rPr>
                <w:rStyle w:val="Style2"/>
              </w:rPr>
            </w:pPr>
            <w:sdt>
              <w:sdtPr>
                <w:rPr>
                  <w:sz w:val="32"/>
                </w:rPr>
                <w:alias w:val="Nurodykite konkrečią dieną"/>
                <w:tag w:val="Nurodykite pradžios datą"/>
                <w:id w:val="-1286042050"/>
                <w:placeholder>
                  <w:docPart w:val="842E98C89A3C4C0D95D5C6C8D44840AB"/>
                </w:placeholder>
                <w15:color w:val="FFCC99"/>
                <w:date>
                  <w:dateFormat w:val="yyyy 'm.' MMMM d 'd.'"/>
                  <w:lid w:val="lt-LT"/>
                  <w:storeMappedDataAs w:val="dateTime"/>
                  <w:calendar w:val="gregorian"/>
                </w:date>
              </w:sdtPr>
              <w:sdtEndPr>
                <w:rPr>
                  <w:sz w:val="24"/>
                </w:rPr>
              </w:sdtEndPr>
              <w:sdtContent>
                <w:r w:rsidR="00D70D2C" w:rsidRPr="002D4FD8">
                  <w:t>2019 m. birželio 28 d.</w:t>
                </w:r>
              </w:sdtContent>
            </w:sdt>
          </w:p>
        </w:tc>
      </w:tr>
      <w:tr w:rsidR="00D70D2C" w:rsidRPr="002D4FD8" w14:paraId="3D70E0FA" w14:textId="77777777" w:rsidTr="001F115E">
        <w:trPr>
          <w:trHeight w:val="1643"/>
        </w:trPr>
        <w:tc>
          <w:tcPr>
            <w:tcW w:w="632" w:type="dxa"/>
          </w:tcPr>
          <w:p w14:paraId="021DF6BD" w14:textId="77777777" w:rsidR="00D70D2C" w:rsidRPr="002D4FD8" w:rsidRDefault="00D70D2C" w:rsidP="00D70D2C">
            <w:pPr>
              <w:rPr>
                <w:rFonts w:eastAsia="Arial"/>
                <w:b/>
                <w:bCs/>
              </w:rPr>
            </w:pPr>
            <w:r w:rsidRPr="002D4FD8">
              <w:rPr>
                <w:rFonts w:eastAsia="Arial"/>
                <w:b/>
                <w:bCs/>
              </w:rPr>
              <w:t>1.3</w:t>
            </w:r>
          </w:p>
        </w:tc>
        <w:tc>
          <w:tcPr>
            <w:tcW w:w="3899" w:type="dxa"/>
          </w:tcPr>
          <w:p w14:paraId="528F713F" w14:textId="77777777" w:rsidR="00D70D2C" w:rsidRPr="002D4FD8" w:rsidRDefault="00D70D2C" w:rsidP="00D70D2C">
            <w:pPr>
              <w:pStyle w:val="NoSpacing"/>
              <w:rPr>
                <w:rFonts w:ascii="Times New Roman" w:hAnsi="Times New Roman"/>
                <w:b/>
                <w:sz w:val="24"/>
                <w:szCs w:val="24"/>
                <w:shd w:val="clear" w:color="auto" w:fill="FFFFFF"/>
              </w:rPr>
            </w:pPr>
            <w:r w:rsidRPr="002D4FD8">
              <w:rPr>
                <w:rFonts w:ascii="Times New Roman" w:hAnsi="Times New Roman"/>
                <w:b/>
                <w:sz w:val="24"/>
                <w:szCs w:val="24"/>
              </w:rPr>
              <w:t xml:space="preserve">Vaistinio preparato </w:t>
            </w:r>
            <w:r w:rsidRPr="002D4FD8">
              <w:rPr>
                <w:rFonts w:ascii="Times New Roman" w:hAnsi="Times New Roman"/>
                <w:b/>
                <w:sz w:val="24"/>
                <w:szCs w:val="24"/>
                <w:shd w:val="clear" w:color="auto" w:fill="FFFFFF"/>
              </w:rPr>
              <w:t>registracijos teisinis pagrindas</w:t>
            </w:r>
          </w:p>
          <w:p w14:paraId="63F86DC1" w14:textId="77777777" w:rsidR="00D70D2C" w:rsidRPr="002D4FD8" w:rsidRDefault="00D70D2C" w:rsidP="00D70D2C">
            <w:pPr>
              <w:pStyle w:val="NoSpacing"/>
              <w:rPr>
                <w:rFonts w:ascii="Times New Roman" w:hAnsi="Times New Roman"/>
                <w:b/>
                <w:bCs/>
                <w:sz w:val="24"/>
                <w:szCs w:val="24"/>
                <w:lang w:eastAsia="lt-LT"/>
              </w:rPr>
            </w:pPr>
            <w:r w:rsidRPr="002D4FD8">
              <w:rPr>
                <w:rFonts w:ascii="Times New Roman" w:hAnsi="Times New Roman"/>
                <w:b/>
                <w:sz w:val="24"/>
                <w:szCs w:val="24"/>
                <w:shd w:val="clear" w:color="auto" w:fill="FFFFFF"/>
              </w:rPr>
              <w:t>(</w:t>
            </w:r>
            <w:r w:rsidRPr="002D4FD8">
              <w:rPr>
                <w:rFonts w:ascii="Times New Roman" w:hAnsi="Times New Roman"/>
                <w:b/>
                <w:sz w:val="24"/>
                <w:szCs w:val="24"/>
              </w:rPr>
              <w:t>Direktyvos 2001/83/EB str.)</w:t>
            </w:r>
          </w:p>
        </w:tc>
        <w:tc>
          <w:tcPr>
            <w:tcW w:w="4962" w:type="dxa"/>
          </w:tcPr>
          <w:p w14:paraId="2A21D670" w14:textId="77777777" w:rsidR="00D70D2C" w:rsidRPr="002D4FD8" w:rsidRDefault="00000000" w:rsidP="00D70D2C">
            <w:pPr>
              <w:jc w:val="both"/>
            </w:pPr>
            <w:sdt>
              <w:sdtPr>
                <w:rPr>
                  <w:rStyle w:val="Style2"/>
                  <w:sz w:val="24"/>
                </w:rPr>
                <w:id w:val="526292078"/>
                <w15:color w:val="FFCC00"/>
                <w14:checkbox>
                  <w14:checked w14:val="1"/>
                  <w14:checkedState w14:val="2612" w14:font="MS Gothic"/>
                  <w14:uncheckedState w14:val="2610" w14:font="MS Gothic"/>
                </w14:checkbox>
              </w:sdtPr>
              <w:sdtContent>
                <w:r w:rsidR="00D70D2C" w:rsidRPr="002D4FD8">
                  <w:rPr>
                    <w:rStyle w:val="Style2"/>
                    <w:rFonts w:ascii="MS Gothic" w:eastAsia="MS Gothic" w:hAnsi="MS Gothic"/>
                    <w:sz w:val="24"/>
                  </w:rPr>
                  <w:t>☒</w:t>
                </w:r>
              </w:sdtContent>
            </w:sdt>
            <w:r w:rsidR="00D70D2C" w:rsidRPr="002D4FD8">
              <w:t>8.3 str. (pilna byla, pagrįsta savais tyrimais)</w:t>
            </w:r>
          </w:p>
          <w:p w14:paraId="6F2C440D" w14:textId="77777777" w:rsidR="00D70D2C" w:rsidRPr="002D4FD8" w:rsidRDefault="00000000" w:rsidP="00D70D2C">
            <w:pPr>
              <w:jc w:val="both"/>
            </w:pPr>
            <w:sdt>
              <w:sdtPr>
                <w:rPr>
                  <w:rStyle w:val="Style2"/>
                  <w:sz w:val="24"/>
                </w:rPr>
                <w:id w:val="-1497953736"/>
                <w15:color w:val="FFCC00"/>
                <w14:checkbox>
                  <w14:checked w14:val="0"/>
                  <w14:checkedState w14:val="2612" w14:font="MS Gothic"/>
                  <w14:uncheckedState w14:val="2610" w14:font="MS Gothic"/>
                </w14:checkbox>
              </w:sdtPr>
              <w:sdtContent>
                <w:r w:rsidR="00D70D2C" w:rsidRPr="002D4FD8">
                  <w:rPr>
                    <w:rStyle w:val="Style2"/>
                    <w:rFonts w:ascii="Segoe UI Symbol" w:eastAsia="MS Gothic" w:hAnsi="Segoe UI Symbol" w:cs="Segoe UI Symbol"/>
                    <w:sz w:val="24"/>
                  </w:rPr>
                  <w:t>☐</w:t>
                </w:r>
              </w:sdtContent>
            </w:sdt>
            <w:r w:rsidR="00D70D2C" w:rsidRPr="002D4FD8">
              <w:t>10 a str. (pripažintas medicininis vartojimas)</w:t>
            </w:r>
          </w:p>
          <w:p w14:paraId="103B9DDD" w14:textId="77777777" w:rsidR="00D70D2C" w:rsidRPr="002D4FD8" w:rsidRDefault="00000000" w:rsidP="00D70D2C">
            <w:pPr>
              <w:jc w:val="both"/>
            </w:pPr>
            <w:sdt>
              <w:sdtPr>
                <w:rPr>
                  <w:rStyle w:val="Style2"/>
                  <w:sz w:val="24"/>
                </w:rPr>
                <w:id w:val="204142496"/>
                <w15:color w:val="FFCC00"/>
                <w14:checkbox>
                  <w14:checked w14:val="0"/>
                  <w14:checkedState w14:val="2612" w14:font="MS Gothic"/>
                  <w14:uncheckedState w14:val="2610" w14:font="MS Gothic"/>
                </w14:checkbox>
              </w:sdtPr>
              <w:sdtContent>
                <w:r w:rsidR="00D70D2C" w:rsidRPr="002D4FD8">
                  <w:rPr>
                    <w:rStyle w:val="Style2"/>
                    <w:rFonts w:ascii="Segoe UI Symbol" w:eastAsia="MS Gothic" w:hAnsi="Segoe UI Symbol" w:cs="Segoe UI Symbol"/>
                    <w:sz w:val="24"/>
                  </w:rPr>
                  <w:t>☐</w:t>
                </w:r>
              </w:sdtContent>
            </w:sdt>
            <w:r w:rsidR="00D70D2C" w:rsidRPr="002D4FD8">
              <w:t>10.1 str. (generinis)</w:t>
            </w:r>
          </w:p>
          <w:p w14:paraId="5A23D391" w14:textId="77777777" w:rsidR="00D70D2C" w:rsidRPr="002D4FD8" w:rsidRDefault="00000000" w:rsidP="00D70D2C">
            <w:pPr>
              <w:jc w:val="both"/>
            </w:pPr>
            <w:sdt>
              <w:sdtPr>
                <w:rPr>
                  <w:rStyle w:val="Style2"/>
                  <w:sz w:val="24"/>
                </w:rPr>
                <w:id w:val="820305101"/>
                <w15:color w:val="FFCC00"/>
                <w14:checkbox>
                  <w14:checked w14:val="0"/>
                  <w14:checkedState w14:val="2612" w14:font="MS Gothic"/>
                  <w14:uncheckedState w14:val="2610" w14:font="MS Gothic"/>
                </w14:checkbox>
              </w:sdtPr>
              <w:sdtContent>
                <w:r w:rsidR="00D70D2C" w:rsidRPr="002D4FD8">
                  <w:rPr>
                    <w:rStyle w:val="Style2"/>
                    <w:rFonts w:ascii="Segoe UI Symbol" w:eastAsia="MS Gothic" w:hAnsi="Segoe UI Symbol" w:cs="Segoe UI Symbol"/>
                    <w:sz w:val="24"/>
                  </w:rPr>
                  <w:t>☐</w:t>
                </w:r>
              </w:sdtContent>
            </w:sdt>
            <w:r w:rsidR="00D70D2C" w:rsidRPr="002D4FD8">
              <w:t>10.3 str. (hibridinis)</w:t>
            </w:r>
          </w:p>
          <w:p w14:paraId="7EDB4848" w14:textId="7A75A04C" w:rsidR="00D70D2C" w:rsidRPr="002D4FD8" w:rsidRDefault="00000000" w:rsidP="00D70D2C">
            <w:pPr>
              <w:rPr>
                <w:rStyle w:val="Style2"/>
                <w:sz w:val="24"/>
              </w:rPr>
            </w:pPr>
            <w:sdt>
              <w:sdtPr>
                <w:rPr>
                  <w:rStyle w:val="Style2"/>
                  <w:sz w:val="24"/>
                </w:rPr>
                <w:id w:val="-450176040"/>
                <w15:color w:val="FFCC00"/>
                <w14:checkbox>
                  <w14:checked w14:val="0"/>
                  <w14:checkedState w14:val="2612" w14:font="MS Gothic"/>
                  <w14:uncheckedState w14:val="2610" w14:font="MS Gothic"/>
                </w14:checkbox>
              </w:sdtPr>
              <w:sdtContent>
                <w:r w:rsidR="00D70D2C" w:rsidRPr="002D4FD8">
                  <w:rPr>
                    <w:rStyle w:val="Style2"/>
                    <w:rFonts w:ascii="Segoe UI Symbol" w:eastAsia="MS Gothic" w:hAnsi="Segoe UI Symbol" w:cs="Segoe UI Symbol"/>
                    <w:sz w:val="24"/>
                  </w:rPr>
                  <w:t>☐</w:t>
                </w:r>
              </w:sdtContent>
            </w:sdt>
            <w:r w:rsidR="00D70D2C" w:rsidRPr="002D4FD8">
              <w:t>10.4 str. (panašus biologinis)</w:t>
            </w:r>
          </w:p>
        </w:tc>
      </w:tr>
      <w:tr w:rsidR="00E70CED" w:rsidRPr="002D4FD8" w14:paraId="31641941" w14:textId="77777777" w:rsidTr="003F3FFF">
        <w:trPr>
          <w:trHeight w:val="1011"/>
        </w:trPr>
        <w:tc>
          <w:tcPr>
            <w:tcW w:w="632" w:type="dxa"/>
          </w:tcPr>
          <w:p w14:paraId="2E73A32C" w14:textId="77777777" w:rsidR="00E70CED" w:rsidRPr="002D4FD8" w:rsidRDefault="00E70CED" w:rsidP="001F115E">
            <w:pPr>
              <w:rPr>
                <w:rFonts w:eastAsia="Arial"/>
                <w:b/>
                <w:bCs/>
              </w:rPr>
            </w:pPr>
            <w:r w:rsidRPr="002D4FD8">
              <w:rPr>
                <w:rFonts w:eastAsia="Arial"/>
                <w:b/>
              </w:rPr>
              <w:t>1.4</w:t>
            </w:r>
          </w:p>
        </w:tc>
        <w:tc>
          <w:tcPr>
            <w:tcW w:w="3899" w:type="dxa"/>
          </w:tcPr>
          <w:p w14:paraId="2547AC59" w14:textId="77777777" w:rsidR="00E70CED" w:rsidRPr="002D4FD8" w:rsidRDefault="00E70CED" w:rsidP="001F115E">
            <w:pPr>
              <w:tabs>
                <w:tab w:val="left" w:pos="284"/>
              </w:tabs>
              <w:rPr>
                <w:b/>
                <w:bCs/>
                <w:lang w:eastAsia="lt-LT"/>
              </w:rPr>
            </w:pPr>
            <w:r w:rsidRPr="002D4FD8">
              <w:rPr>
                <w:b/>
                <w:bCs/>
                <w:lang w:eastAsia="lt-LT"/>
              </w:rPr>
              <w:t>Ar vaistinis preparatas įrašytas į Bendrijos retųjų vaistinių preparatų registrą?</w:t>
            </w:r>
          </w:p>
        </w:tc>
        <w:tc>
          <w:tcPr>
            <w:tcW w:w="4962" w:type="dxa"/>
          </w:tcPr>
          <w:p w14:paraId="49AB923F" w14:textId="7E23966D" w:rsidR="00E70CED" w:rsidRPr="002D4FD8" w:rsidRDefault="00000000" w:rsidP="001F115E">
            <w:sdt>
              <w:sdtPr>
                <w:rPr>
                  <w:rStyle w:val="Style2"/>
                  <w:sz w:val="24"/>
                </w:rPr>
                <w:id w:val="1190730465"/>
                <w15:color w:val="FFCC00"/>
                <w14:checkbox>
                  <w14:checked w14:val="0"/>
                  <w14:checkedState w14:val="2612" w14:font="MS Gothic"/>
                  <w14:uncheckedState w14:val="2610" w14:font="MS Gothic"/>
                </w14:checkbox>
              </w:sdtPr>
              <w:sdtContent>
                <w:r w:rsidR="00E70CED" w:rsidRPr="002D4FD8">
                  <w:rPr>
                    <w:rStyle w:val="Style2"/>
                    <w:rFonts w:ascii="Segoe UI Symbol" w:eastAsia="MS Gothic" w:hAnsi="Segoe UI Symbol" w:cs="Segoe UI Symbol"/>
                    <w:sz w:val="24"/>
                  </w:rPr>
                  <w:t>☐</w:t>
                </w:r>
              </w:sdtContent>
            </w:sdt>
            <w:r w:rsidR="00E70CED" w:rsidRPr="002D4FD8">
              <w:t xml:space="preserve"> Taip       </w:t>
            </w:r>
            <w:r w:rsidR="00E70CED" w:rsidRPr="002D4FD8">
              <w:rPr>
                <w:rStyle w:val="Style2"/>
                <w:sz w:val="24"/>
              </w:rPr>
              <w:t xml:space="preserve"> </w:t>
            </w:r>
            <w:sdt>
              <w:sdtPr>
                <w:rPr>
                  <w:rStyle w:val="Style2"/>
                  <w:sz w:val="24"/>
                </w:rPr>
                <w:id w:val="-1760283509"/>
                <w15:color w:val="FFCC00"/>
                <w14:checkbox>
                  <w14:checked w14:val="1"/>
                  <w14:checkedState w14:val="2612" w14:font="MS Gothic"/>
                  <w14:uncheckedState w14:val="2610" w14:font="MS Gothic"/>
                </w14:checkbox>
              </w:sdtPr>
              <w:sdtContent>
                <w:r w:rsidR="0021231B" w:rsidRPr="002D4FD8">
                  <w:rPr>
                    <w:rStyle w:val="Style2"/>
                    <w:rFonts w:ascii="MS Gothic" w:eastAsia="MS Gothic" w:hAnsi="MS Gothic"/>
                    <w:sz w:val="24"/>
                  </w:rPr>
                  <w:t>☒</w:t>
                </w:r>
              </w:sdtContent>
            </w:sdt>
            <w:r w:rsidR="00E70CED" w:rsidRPr="002D4FD8">
              <w:t xml:space="preserve"> Ne</w:t>
            </w:r>
          </w:p>
          <w:p w14:paraId="56165267" w14:textId="77777777" w:rsidR="00E70CED" w:rsidRPr="002D4FD8" w:rsidRDefault="00E70CED" w:rsidP="001F115E">
            <w:pPr>
              <w:rPr>
                <w:rFonts w:eastAsia="Arial"/>
              </w:rPr>
            </w:pPr>
            <w:r w:rsidRPr="002D4FD8">
              <w:t xml:space="preserve">Data: </w:t>
            </w:r>
            <w:sdt>
              <w:sdtPr>
                <w:alias w:val="Nurodykite konkrečią dieną"/>
                <w:tag w:val="Nurodykite pradžios datą"/>
                <w:id w:val="1784158105"/>
                <w:placeholder>
                  <w:docPart w:val="93D7EBE30A7F432F9AB1114CDC0B27A0"/>
                </w:placeholder>
                <w:showingPlcHdr/>
                <w15:color w:val="FFCC99"/>
                <w:date w:fullDate="2022-05-18T00:00:00Z">
                  <w:dateFormat w:val="yyyy 'm.' MMMM d 'd.'"/>
                  <w:lid w:val="lt-LT"/>
                  <w:storeMappedDataAs w:val="dateTime"/>
                  <w:calendar w:val="gregorian"/>
                </w:date>
              </w:sdtPr>
              <w:sdtContent>
                <w:r w:rsidRPr="002D4FD8">
                  <w:rPr>
                    <w:rStyle w:val="PlaceholderText"/>
                  </w:rPr>
                  <w:t>Click here to enter a date.</w:t>
                </w:r>
              </w:sdtContent>
            </w:sdt>
            <w:r w:rsidRPr="002D4FD8">
              <w:t xml:space="preserve"> Nr.</w:t>
            </w:r>
          </w:p>
        </w:tc>
      </w:tr>
      <w:tr w:rsidR="00E70CED" w:rsidRPr="002D4FD8" w14:paraId="5E0775EB" w14:textId="77777777" w:rsidTr="003F3FFF">
        <w:trPr>
          <w:trHeight w:val="1011"/>
        </w:trPr>
        <w:tc>
          <w:tcPr>
            <w:tcW w:w="632" w:type="dxa"/>
          </w:tcPr>
          <w:p w14:paraId="6829924D" w14:textId="77777777" w:rsidR="00E70CED" w:rsidRPr="002D4FD8" w:rsidRDefault="00E70CED" w:rsidP="001F115E">
            <w:pPr>
              <w:rPr>
                <w:rFonts w:eastAsia="Arial"/>
                <w:b/>
              </w:rPr>
            </w:pPr>
            <w:r w:rsidRPr="002D4FD8">
              <w:rPr>
                <w:rFonts w:eastAsia="Arial"/>
                <w:b/>
                <w:bCs/>
              </w:rPr>
              <w:t>1.5</w:t>
            </w:r>
          </w:p>
        </w:tc>
        <w:tc>
          <w:tcPr>
            <w:tcW w:w="3899" w:type="dxa"/>
          </w:tcPr>
          <w:p w14:paraId="1DDE7CF3" w14:textId="2FF7A402" w:rsidR="00E70CED" w:rsidRPr="002D4FD8" w:rsidRDefault="00E70CED" w:rsidP="001F115E">
            <w:pPr>
              <w:tabs>
                <w:tab w:val="left" w:pos="284"/>
              </w:tabs>
              <w:rPr>
                <w:b/>
                <w:bCs/>
                <w:lang w:eastAsia="lt-LT"/>
              </w:rPr>
            </w:pPr>
            <w:r w:rsidRPr="002D4FD8">
              <w:rPr>
                <w:b/>
                <w:bCs/>
                <w:lang w:eastAsia="lt-LT"/>
              </w:rPr>
              <w:t>Ar atliktas bendras klinikinis vertinimas</w:t>
            </w:r>
          </w:p>
          <w:p w14:paraId="0961228D" w14:textId="77777777" w:rsidR="00E70CED" w:rsidRPr="002D4FD8" w:rsidRDefault="00E70CED" w:rsidP="001F115E">
            <w:pPr>
              <w:tabs>
                <w:tab w:val="left" w:pos="284"/>
              </w:tabs>
              <w:rPr>
                <w:b/>
                <w:bCs/>
                <w:lang w:eastAsia="lt-LT"/>
              </w:rPr>
            </w:pPr>
            <w:r w:rsidRPr="002D4FD8">
              <w:rPr>
                <w:b/>
                <w:bCs/>
                <w:lang w:eastAsia="lt-LT"/>
              </w:rPr>
              <w:t>(Europos Parlamento ir Tarybos reglamentas (ES) 2021/2282)</w:t>
            </w:r>
          </w:p>
          <w:p w14:paraId="7B6C3C1B" w14:textId="77777777" w:rsidR="00336238" w:rsidRPr="002D4FD8" w:rsidRDefault="00336238" w:rsidP="001F115E">
            <w:pPr>
              <w:tabs>
                <w:tab w:val="left" w:pos="284"/>
              </w:tabs>
              <w:rPr>
                <w:b/>
                <w:bCs/>
                <w:lang w:eastAsia="lt-LT"/>
              </w:rPr>
            </w:pPr>
          </w:p>
        </w:tc>
        <w:tc>
          <w:tcPr>
            <w:tcW w:w="4962" w:type="dxa"/>
          </w:tcPr>
          <w:p w14:paraId="024AE31B" w14:textId="0662D0C7" w:rsidR="00E70CED" w:rsidRPr="002D4FD8" w:rsidRDefault="00000000" w:rsidP="001F115E">
            <w:sdt>
              <w:sdtPr>
                <w:rPr>
                  <w:rStyle w:val="Style2"/>
                  <w:sz w:val="24"/>
                </w:rPr>
                <w:id w:val="-1171564470"/>
                <w15:color w:val="FFCC00"/>
                <w14:checkbox>
                  <w14:checked w14:val="0"/>
                  <w14:checkedState w14:val="2612" w14:font="MS Gothic"/>
                  <w14:uncheckedState w14:val="2610" w14:font="MS Gothic"/>
                </w14:checkbox>
              </w:sdtPr>
              <w:sdtContent>
                <w:r w:rsidR="00E70CED" w:rsidRPr="002D4FD8">
                  <w:rPr>
                    <w:rStyle w:val="Style2"/>
                    <w:rFonts w:ascii="Segoe UI Symbol" w:eastAsia="MS Gothic" w:hAnsi="Segoe UI Symbol" w:cs="Segoe UI Symbol"/>
                    <w:sz w:val="24"/>
                  </w:rPr>
                  <w:t>☐</w:t>
                </w:r>
              </w:sdtContent>
            </w:sdt>
            <w:r w:rsidR="00E70CED" w:rsidRPr="002D4FD8">
              <w:t xml:space="preserve"> Taip       </w:t>
            </w:r>
            <w:r w:rsidR="00E70CED" w:rsidRPr="002D4FD8">
              <w:rPr>
                <w:rStyle w:val="Style2"/>
                <w:sz w:val="24"/>
              </w:rPr>
              <w:t xml:space="preserve"> </w:t>
            </w:r>
            <w:sdt>
              <w:sdtPr>
                <w:rPr>
                  <w:rStyle w:val="Style2"/>
                  <w:sz w:val="24"/>
                </w:rPr>
                <w:id w:val="1448122567"/>
                <w15:color w:val="FFCC00"/>
                <w14:checkbox>
                  <w14:checked w14:val="1"/>
                  <w14:checkedState w14:val="2612" w14:font="MS Gothic"/>
                  <w14:uncheckedState w14:val="2610" w14:font="MS Gothic"/>
                </w14:checkbox>
              </w:sdtPr>
              <w:sdtContent>
                <w:r w:rsidR="0021231B" w:rsidRPr="002D4FD8">
                  <w:rPr>
                    <w:rStyle w:val="Style2"/>
                    <w:rFonts w:ascii="MS Gothic" w:eastAsia="MS Gothic" w:hAnsi="MS Gothic"/>
                    <w:sz w:val="24"/>
                  </w:rPr>
                  <w:t>☒</w:t>
                </w:r>
              </w:sdtContent>
            </w:sdt>
            <w:r w:rsidR="00E70CED" w:rsidRPr="002D4FD8">
              <w:t xml:space="preserve"> Ne</w:t>
            </w:r>
          </w:p>
          <w:p w14:paraId="0DF729B3" w14:textId="042856F7" w:rsidR="00E70CED" w:rsidRPr="002D4FD8" w:rsidRDefault="00E70CED" w:rsidP="001F115E">
            <w:pPr>
              <w:rPr>
                <w:rStyle w:val="Style2"/>
                <w:sz w:val="24"/>
              </w:rPr>
            </w:pPr>
            <w:r w:rsidRPr="002D4FD8">
              <w:t xml:space="preserve">Data: </w:t>
            </w:r>
            <w:sdt>
              <w:sdtPr>
                <w:alias w:val="Nurodykite konkrečią dieną"/>
                <w:tag w:val="Nurodykite pradžios datą"/>
                <w:id w:val="1516880001"/>
                <w:placeholder>
                  <w:docPart w:val="313EC56AA2FD440FAB92ED675BD36BA0"/>
                </w:placeholder>
                <w:showingPlcHdr/>
                <w15:color w:val="FFCC99"/>
                <w:date w:fullDate="2022-05-18T00:00:00Z">
                  <w:dateFormat w:val="yyyy 'm.' MMMM d 'd.'"/>
                  <w:lid w:val="lt-LT"/>
                  <w:storeMappedDataAs w:val="dateTime"/>
                  <w:calendar w:val="gregorian"/>
                </w:date>
              </w:sdtPr>
              <w:sdtContent>
                <w:r w:rsidRPr="002D4FD8">
                  <w:rPr>
                    <w:rStyle w:val="PlaceholderText"/>
                  </w:rPr>
                  <w:t>Click here to enter a date.</w:t>
                </w:r>
              </w:sdtContent>
            </w:sdt>
            <w:r w:rsidRPr="002D4FD8">
              <w:t xml:space="preserve"> </w:t>
            </w:r>
          </w:p>
        </w:tc>
      </w:tr>
      <w:tr w:rsidR="00FD1308" w:rsidRPr="002D4FD8" w14:paraId="15E36E93" w14:textId="77777777" w:rsidTr="003F3FFF">
        <w:trPr>
          <w:trHeight w:val="1278"/>
        </w:trPr>
        <w:tc>
          <w:tcPr>
            <w:tcW w:w="632" w:type="dxa"/>
          </w:tcPr>
          <w:p w14:paraId="5F43AA8F" w14:textId="77777777" w:rsidR="00FD1308" w:rsidRPr="002D4FD8" w:rsidRDefault="00FD1308" w:rsidP="00FD1308">
            <w:pPr>
              <w:rPr>
                <w:rFonts w:eastAsia="Arial"/>
                <w:b/>
                <w:bCs/>
              </w:rPr>
            </w:pPr>
            <w:r w:rsidRPr="002D4FD8">
              <w:rPr>
                <w:rFonts w:eastAsia="Arial"/>
                <w:b/>
                <w:bCs/>
              </w:rPr>
              <w:t>1.6</w:t>
            </w:r>
          </w:p>
        </w:tc>
        <w:tc>
          <w:tcPr>
            <w:tcW w:w="3899" w:type="dxa"/>
          </w:tcPr>
          <w:p w14:paraId="41F32942" w14:textId="77777777" w:rsidR="00FD1308" w:rsidRPr="002D4FD8" w:rsidRDefault="00FD1308" w:rsidP="00FD1308">
            <w:pPr>
              <w:rPr>
                <w:b/>
                <w:bCs/>
                <w:lang w:eastAsia="lt-LT"/>
              </w:rPr>
            </w:pPr>
            <w:r w:rsidRPr="002D4FD8">
              <w:rPr>
                <w:b/>
                <w:bCs/>
                <w:lang w:eastAsia="lt-LT"/>
              </w:rPr>
              <w:t xml:space="preserve">Teikiama kompensuoti terapinė indikacija </w:t>
            </w:r>
          </w:p>
          <w:p w14:paraId="2882A5BD" w14:textId="77777777" w:rsidR="00FD1308" w:rsidRPr="002D4FD8" w:rsidRDefault="00FD1308" w:rsidP="00FD1308">
            <w:pPr>
              <w:rPr>
                <w:b/>
                <w:bCs/>
                <w:lang w:eastAsia="lt-LT"/>
              </w:rPr>
            </w:pPr>
          </w:p>
          <w:p w14:paraId="371D188E" w14:textId="77777777" w:rsidR="00FD1308" w:rsidRPr="002D4FD8" w:rsidRDefault="00FD1308" w:rsidP="00FD1308">
            <w:pPr>
              <w:rPr>
                <w:b/>
                <w:bCs/>
                <w:lang w:eastAsia="lt-LT"/>
              </w:rPr>
            </w:pPr>
            <w:r w:rsidRPr="002D4FD8">
              <w:rPr>
                <w:b/>
                <w:bCs/>
                <w:lang w:eastAsia="lt-LT"/>
              </w:rPr>
              <w:t>Kodas pagal TLK-10 AM</w:t>
            </w:r>
          </w:p>
        </w:tc>
        <w:tc>
          <w:tcPr>
            <w:tcW w:w="4962" w:type="dxa"/>
          </w:tcPr>
          <w:p w14:paraId="6AEE47D5" w14:textId="77777777" w:rsidR="00FD1308" w:rsidRPr="002D4FD8" w:rsidRDefault="00FD1308" w:rsidP="00FD1308">
            <w:pPr>
              <w:jc w:val="both"/>
            </w:pPr>
            <w:r w:rsidRPr="002D4FD8">
              <w:t>Odos plokščiųjų ląstelių karcinoma</w:t>
            </w:r>
          </w:p>
          <w:p w14:paraId="5246A2FD" w14:textId="77777777" w:rsidR="00FD1308" w:rsidRPr="002D4FD8" w:rsidRDefault="00FD1308" w:rsidP="00FD1308">
            <w:pPr>
              <w:jc w:val="both"/>
            </w:pPr>
            <w:r w:rsidRPr="002D4FD8">
              <w:t>LIBTAYO skirtas adjuvantiniam OPLK sergančių suaugusių pacientų monoterapijai, kuriems yra didelė ligos atsinaujinimo po operacijos ir spindulinio gydymo rizika.</w:t>
            </w:r>
          </w:p>
          <w:p w14:paraId="7AE795A7" w14:textId="77777777" w:rsidR="00FD1308" w:rsidRPr="002D4FD8" w:rsidRDefault="00FD1308" w:rsidP="00FD1308">
            <w:pPr>
              <w:jc w:val="both"/>
            </w:pPr>
          </w:p>
          <w:p w14:paraId="10833DB8" w14:textId="4AF89D7C" w:rsidR="00FD1308" w:rsidRPr="002D4FD8" w:rsidRDefault="00FD1308" w:rsidP="00FD1308">
            <w:pPr>
              <w:jc w:val="both"/>
            </w:pPr>
            <w:r w:rsidRPr="002D4FD8">
              <w:t>TLK-10 AM kodas: C44.</w:t>
            </w:r>
          </w:p>
        </w:tc>
      </w:tr>
      <w:tr w:rsidR="00E70CED" w:rsidRPr="002D4FD8" w14:paraId="01C3C4F5" w14:textId="77777777" w:rsidTr="003F3FFF">
        <w:trPr>
          <w:trHeight w:val="378"/>
        </w:trPr>
        <w:tc>
          <w:tcPr>
            <w:tcW w:w="632" w:type="dxa"/>
          </w:tcPr>
          <w:p w14:paraId="5115AFC1" w14:textId="77777777" w:rsidR="00E70CED" w:rsidRPr="002D4FD8" w:rsidRDefault="00E70CED" w:rsidP="001F115E">
            <w:pPr>
              <w:rPr>
                <w:rFonts w:eastAsia="Arial"/>
                <w:b/>
                <w:bCs/>
              </w:rPr>
            </w:pPr>
            <w:r w:rsidRPr="002D4FD8">
              <w:rPr>
                <w:rFonts w:eastAsia="Arial"/>
                <w:b/>
                <w:bCs/>
              </w:rPr>
              <w:lastRenderedPageBreak/>
              <w:t>1.7</w:t>
            </w:r>
          </w:p>
        </w:tc>
        <w:tc>
          <w:tcPr>
            <w:tcW w:w="3899" w:type="dxa"/>
          </w:tcPr>
          <w:p w14:paraId="48045B5A" w14:textId="77777777" w:rsidR="00E70CED" w:rsidRPr="002D4FD8" w:rsidRDefault="00E70CED" w:rsidP="001F115E">
            <w:pPr>
              <w:rPr>
                <w:b/>
                <w:bCs/>
                <w:u w:val="single"/>
                <w:lang w:eastAsia="lt-LT"/>
              </w:rPr>
            </w:pPr>
            <w:r w:rsidRPr="002D4FD8">
              <w:rPr>
                <w:b/>
                <w:bCs/>
                <w:lang w:eastAsia="lt-LT"/>
              </w:rPr>
              <w:t xml:space="preserve">Teikiamos skyrimo sąlygos </w:t>
            </w:r>
          </w:p>
        </w:tc>
        <w:tc>
          <w:tcPr>
            <w:tcW w:w="4962" w:type="dxa"/>
          </w:tcPr>
          <w:p w14:paraId="6A31562C" w14:textId="20747E37" w:rsidR="00E70CED" w:rsidRPr="002D4FD8" w:rsidRDefault="00FD1308" w:rsidP="001F115E">
            <w:r w:rsidRPr="002D4FD8">
              <w:t>Pagal registruotą indikaciją.</w:t>
            </w:r>
          </w:p>
        </w:tc>
      </w:tr>
      <w:tr w:rsidR="00E70CED" w:rsidRPr="002D4FD8" w14:paraId="3C32C984" w14:textId="77777777" w:rsidTr="003F3FFF">
        <w:trPr>
          <w:trHeight w:val="378"/>
        </w:trPr>
        <w:tc>
          <w:tcPr>
            <w:tcW w:w="632" w:type="dxa"/>
          </w:tcPr>
          <w:p w14:paraId="4E679EDB" w14:textId="77777777" w:rsidR="00E70CED" w:rsidRPr="002D4FD8" w:rsidRDefault="00E70CED" w:rsidP="001F115E">
            <w:pPr>
              <w:rPr>
                <w:rFonts w:eastAsia="Arial"/>
                <w:b/>
                <w:bCs/>
              </w:rPr>
            </w:pPr>
            <w:r w:rsidRPr="002D4FD8">
              <w:rPr>
                <w:rFonts w:eastAsia="Arial"/>
                <w:b/>
                <w:bCs/>
              </w:rPr>
              <w:t>1.8</w:t>
            </w:r>
          </w:p>
        </w:tc>
        <w:tc>
          <w:tcPr>
            <w:tcW w:w="3899" w:type="dxa"/>
          </w:tcPr>
          <w:p w14:paraId="784605B5" w14:textId="3A924C79" w:rsidR="00E70CED" w:rsidRPr="002D4FD8" w:rsidRDefault="00E70CED" w:rsidP="001F115E">
            <w:pPr>
              <w:rPr>
                <w:b/>
                <w:bCs/>
                <w:lang w:eastAsia="lt-LT"/>
              </w:rPr>
            </w:pPr>
            <w:r w:rsidRPr="002D4FD8">
              <w:rPr>
                <w:b/>
                <w:bCs/>
                <w:lang w:eastAsia="lt-LT"/>
              </w:rPr>
              <w:t>Ekonominė analizė</w:t>
            </w:r>
          </w:p>
        </w:tc>
        <w:tc>
          <w:tcPr>
            <w:tcW w:w="4962" w:type="dxa"/>
          </w:tcPr>
          <w:p w14:paraId="3155F2E8" w14:textId="5112541B" w:rsidR="00E70CED" w:rsidRPr="002D4FD8" w:rsidRDefault="00000000" w:rsidP="001F115E">
            <w:sdt>
              <w:sdtPr>
                <w:rPr>
                  <w:rStyle w:val="Style2"/>
                  <w:sz w:val="24"/>
                </w:rPr>
                <w:id w:val="356323367"/>
                <w15:color w:val="FFCC00"/>
                <w14:checkbox>
                  <w14:checked w14:val="1"/>
                  <w14:checkedState w14:val="2612" w14:font="MS Gothic"/>
                  <w14:uncheckedState w14:val="2610" w14:font="MS Gothic"/>
                </w14:checkbox>
              </w:sdtPr>
              <w:sdtContent>
                <w:r w:rsidR="0021231B" w:rsidRPr="002D4FD8">
                  <w:rPr>
                    <w:rStyle w:val="Style2"/>
                    <w:rFonts w:ascii="MS Gothic" w:eastAsia="MS Gothic" w:hAnsi="MS Gothic"/>
                    <w:sz w:val="24"/>
                  </w:rPr>
                  <w:t>☒</w:t>
                </w:r>
              </w:sdtContent>
            </w:sdt>
            <w:r w:rsidR="00E70CED" w:rsidRPr="002D4FD8">
              <w:t xml:space="preserve"> Kaštų naudingumo analizė</w:t>
            </w:r>
          </w:p>
          <w:p w14:paraId="49547563" w14:textId="77777777" w:rsidR="00E70CED" w:rsidRPr="002D4FD8" w:rsidRDefault="00000000" w:rsidP="001F115E">
            <w:sdt>
              <w:sdtPr>
                <w:rPr>
                  <w:rStyle w:val="Style2"/>
                  <w:sz w:val="24"/>
                </w:rPr>
                <w:id w:val="-250506580"/>
                <w15:color w:val="FFCC00"/>
                <w14:checkbox>
                  <w14:checked w14:val="0"/>
                  <w14:checkedState w14:val="2612" w14:font="MS Gothic"/>
                  <w14:uncheckedState w14:val="2610" w14:font="MS Gothic"/>
                </w14:checkbox>
              </w:sdtPr>
              <w:sdtContent>
                <w:r w:rsidR="00E70CED" w:rsidRPr="002D4FD8">
                  <w:rPr>
                    <w:rStyle w:val="Style2"/>
                    <w:rFonts w:ascii="Segoe UI Symbol" w:eastAsia="MS Gothic" w:hAnsi="Segoe UI Symbol" w:cs="Segoe UI Symbol"/>
                    <w:sz w:val="24"/>
                  </w:rPr>
                  <w:t>☐</w:t>
                </w:r>
              </w:sdtContent>
            </w:sdt>
            <w:r w:rsidR="00E70CED" w:rsidRPr="002D4FD8">
              <w:t xml:space="preserve"> Kaštų mažinimo analizė</w:t>
            </w:r>
          </w:p>
          <w:p w14:paraId="42039008" w14:textId="5726D9D8" w:rsidR="00FE5878" w:rsidRPr="002D4FD8" w:rsidRDefault="00000000" w:rsidP="00FE5878">
            <w:sdt>
              <w:sdtPr>
                <w:rPr>
                  <w:rStyle w:val="Style2"/>
                  <w:sz w:val="24"/>
                </w:rPr>
                <w:id w:val="-1570647133"/>
                <w15:color w:val="FFCC00"/>
                <w14:checkbox>
                  <w14:checked w14:val="0"/>
                  <w14:checkedState w14:val="2612" w14:font="MS Gothic"/>
                  <w14:uncheckedState w14:val="2610" w14:font="MS Gothic"/>
                </w14:checkbox>
              </w:sdtPr>
              <w:sdtContent>
                <w:r w:rsidR="00FE5878" w:rsidRPr="002D4FD8">
                  <w:rPr>
                    <w:rStyle w:val="Style2"/>
                    <w:rFonts w:ascii="Segoe UI Symbol" w:eastAsia="MS Gothic" w:hAnsi="Segoe UI Symbol" w:cs="Segoe UI Symbol"/>
                    <w:sz w:val="24"/>
                  </w:rPr>
                  <w:t>☐</w:t>
                </w:r>
              </w:sdtContent>
            </w:sdt>
            <w:r w:rsidR="00FE5878" w:rsidRPr="002D4FD8">
              <w:t xml:space="preserve"> Neteikiama</w:t>
            </w:r>
          </w:p>
          <w:p w14:paraId="5DC5A0C1" w14:textId="77777777" w:rsidR="00FE5878" w:rsidRPr="002D4FD8" w:rsidRDefault="00FE5878" w:rsidP="001F115E"/>
          <w:p w14:paraId="4B0FE78C" w14:textId="77777777" w:rsidR="00E70CED" w:rsidRPr="002D4FD8" w:rsidRDefault="00E70CED" w:rsidP="001F115E"/>
        </w:tc>
      </w:tr>
    </w:tbl>
    <w:p w14:paraId="2EB7FD31" w14:textId="5615B363" w:rsidR="007A2B68" w:rsidRPr="002D4FD8" w:rsidRDefault="00DC261A" w:rsidP="00063A50">
      <w:pPr>
        <w:pStyle w:val="ListParagraph"/>
        <w:tabs>
          <w:tab w:val="left" w:pos="426"/>
        </w:tabs>
        <w:ind w:left="0"/>
        <w:jc w:val="center"/>
        <w:rPr>
          <w:b/>
          <w:bCs/>
          <w:caps/>
        </w:rPr>
      </w:pPr>
      <w:r w:rsidRPr="002D4FD8">
        <w:rPr>
          <w:b/>
          <w:bCs/>
          <w:caps/>
        </w:rPr>
        <w:t>___________________</w:t>
      </w:r>
    </w:p>
    <w:p w14:paraId="73290081" w14:textId="77777777" w:rsidR="007A2B68" w:rsidRPr="002D4FD8" w:rsidRDefault="007A2B68">
      <w:pPr>
        <w:rPr>
          <w:b/>
          <w:bCs/>
          <w:caps/>
        </w:rPr>
      </w:pPr>
      <w:r w:rsidRPr="002D4FD8">
        <w:rPr>
          <w:b/>
          <w:bCs/>
          <w:caps/>
        </w:rPr>
        <w:br w:type="page"/>
      </w:r>
    </w:p>
    <w:p w14:paraId="5055E8A8" w14:textId="711E5B0C" w:rsidR="002E6F80" w:rsidRPr="002D4FD8" w:rsidRDefault="00CC7832" w:rsidP="00CC09D4">
      <w:pPr>
        <w:pStyle w:val="ListParagraph"/>
        <w:numPr>
          <w:ilvl w:val="0"/>
          <w:numId w:val="12"/>
        </w:numPr>
        <w:tabs>
          <w:tab w:val="left" w:pos="567"/>
        </w:tabs>
        <w:ind w:hanging="720"/>
        <w:rPr>
          <w:b/>
          <w:bCs/>
          <w:caps/>
        </w:rPr>
      </w:pPr>
      <w:r w:rsidRPr="002D4FD8">
        <w:rPr>
          <w:b/>
          <w:bCs/>
          <w:caps/>
        </w:rPr>
        <w:lastRenderedPageBreak/>
        <w:t>Klinikinio vertinimo a</w:t>
      </w:r>
      <w:r w:rsidR="00D4485B" w:rsidRPr="002D4FD8">
        <w:rPr>
          <w:b/>
          <w:bCs/>
          <w:caps/>
        </w:rPr>
        <w:t>pibendrinimas</w:t>
      </w:r>
    </w:p>
    <w:p w14:paraId="39C1ADA8" w14:textId="77777777" w:rsidR="00AC5129" w:rsidRPr="002D4FD8" w:rsidRDefault="00AC5129" w:rsidP="00A93AA6">
      <w:pPr>
        <w:pStyle w:val="ListParagraph"/>
        <w:tabs>
          <w:tab w:val="left" w:pos="426"/>
        </w:tabs>
        <w:ind w:left="0"/>
        <w:rPr>
          <w:b/>
          <w:bCs/>
          <w:caps/>
        </w:rPr>
      </w:pPr>
    </w:p>
    <w:p w14:paraId="7CA8F644" w14:textId="77777777" w:rsidR="002D10CD" w:rsidRPr="002D4FD8" w:rsidRDefault="002D10CD" w:rsidP="002D10CD">
      <w:pPr>
        <w:pStyle w:val="ListParagraph"/>
        <w:tabs>
          <w:tab w:val="left" w:pos="426"/>
        </w:tabs>
        <w:spacing w:line="276" w:lineRule="auto"/>
        <w:ind w:left="0"/>
        <w:jc w:val="both"/>
        <w:rPr>
          <w:b/>
          <w:bCs/>
          <w:caps/>
        </w:rPr>
      </w:pPr>
      <w:r w:rsidRPr="002D4FD8">
        <w:rPr>
          <w:i/>
          <w:color w:val="00B050"/>
        </w:rPr>
        <w:tab/>
      </w:r>
      <w:r w:rsidRPr="002D4FD8">
        <w:rPr>
          <w:i/>
          <w:color w:val="00B050"/>
        </w:rPr>
        <w:tab/>
      </w:r>
      <w:r w:rsidRPr="002D4FD8">
        <w:rPr>
          <w:iCs/>
        </w:rPr>
        <w:t>Bendras klinikinis vertinimas pagal 2021 m. gruodžio 15 d. Europos Parlamento ir Tarybos reglamentu (ES) 2021/2282 dėl sveikatos technologijų vertinimo, kuriuo iš dalies keičiama direktyva 2011/24/ES, vaistiniam preparatui Libtayo neatliktas.</w:t>
      </w:r>
    </w:p>
    <w:p w14:paraId="78FC8BAE" w14:textId="77777777" w:rsidR="002D10CD" w:rsidRPr="002D4FD8" w:rsidRDefault="002D10CD" w:rsidP="002D10CD">
      <w:pPr>
        <w:tabs>
          <w:tab w:val="left" w:pos="426"/>
        </w:tabs>
        <w:spacing w:line="276" w:lineRule="auto"/>
        <w:jc w:val="both"/>
        <w:rPr>
          <w:iCs/>
        </w:rPr>
      </w:pPr>
      <w:r w:rsidRPr="002D4FD8">
        <w:rPr>
          <w:iCs/>
        </w:rPr>
        <w:tab/>
      </w:r>
      <w:r w:rsidRPr="002D4FD8">
        <w:rPr>
          <w:iCs/>
        </w:rPr>
        <w:tab/>
        <w:t>Odos plokščiųjų ląstelių karcinoma (OPLK) yra antras dažniausias nemelanominis odos onkologinis susirgimas, kurių dauguma nustatomi galvos ir kaklo srityse. Pagrindiniai OPLK rizikos veiksniai yra vyresnis amžius (daugiau nei 80% atvejų nustatoma asmenims, vyresniems nei 60 metų), ilgalaikis ultravioletinės spinduliuotės poveikis, šviesesnė odos spalva ir imunosupresinės būklės. Europoje OPLK dažniau nustatoma vyrams nei moterims</w:t>
      </w:r>
    </w:p>
    <w:p w14:paraId="0B879185" w14:textId="77777777" w:rsidR="002D10CD" w:rsidRPr="002D4FD8" w:rsidRDefault="002D10CD" w:rsidP="002D10CD">
      <w:pPr>
        <w:tabs>
          <w:tab w:val="left" w:pos="426"/>
        </w:tabs>
        <w:spacing w:line="276" w:lineRule="auto"/>
        <w:jc w:val="both"/>
      </w:pPr>
      <w:r w:rsidRPr="002D4FD8">
        <w:tab/>
      </w:r>
      <w:r w:rsidRPr="002D4FD8">
        <w:tab/>
        <w:t xml:space="preserve">2024 m. ESMO (angl. </w:t>
      </w:r>
      <w:r w:rsidRPr="002D4FD8">
        <w:rPr>
          <w:i/>
          <w:iCs/>
        </w:rPr>
        <w:t>European Society of Medical Oncology</w:t>
      </w:r>
      <w:r w:rsidRPr="002D4FD8">
        <w:t>) OPLK diagnostikos ir gydymo gairėse rezekuotinų OPLK gydymo taktika priklauso nuo jų rizikos (pirmenybė teikiama chirurginei ekscizijai, lyginant su radioterapija / šalinimu naudojant fizinius veiksnius). Didelės rizikos OPLK nustatoma, jei navikas išauga specifinėse vietose (ant galvos, ausų, akių vokų, nosies, lūpų) arba atitinka specifinius kriterijus (histologinis išplitimas ≥T2, išplitimas į poodinį audinį). Pooperacinė radioterapija taikoma nustačius naviko plitimą nervų dangalais, nepasiekti tiksliniai chirurginio pašalinimo tikslai, ligos atsinaujinimas po radikalaus pašalinimo, histologinis išplitimas ≥T3, randėjantys/infiltruojantys navikai esant imunosupresijai. Pooperacinis chemospindulinis gydymas nerekomenduojamas.</w:t>
      </w:r>
    </w:p>
    <w:p w14:paraId="6AE63FCE" w14:textId="77777777" w:rsidR="002D10CD" w:rsidRPr="002D4FD8" w:rsidRDefault="002D10CD" w:rsidP="002D10CD">
      <w:pPr>
        <w:tabs>
          <w:tab w:val="left" w:pos="426"/>
        </w:tabs>
        <w:spacing w:line="276" w:lineRule="auto"/>
        <w:jc w:val="both"/>
      </w:pPr>
      <w:r w:rsidRPr="002D4FD8">
        <w:tab/>
      </w:r>
      <w:r w:rsidRPr="002D4FD8">
        <w:tab/>
        <w:t xml:space="preserve">2026 m. NCNN (angl. </w:t>
      </w:r>
      <w:r w:rsidRPr="002D4FD8">
        <w:rPr>
          <w:i/>
          <w:iCs/>
        </w:rPr>
        <w:t>National Comprehensive Cancer Network</w:t>
      </w:r>
      <w:r w:rsidRPr="002D4FD8">
        <w:t>) OPLK diagnostikos ir gydymo gairėse rezekuotinų OPLK gydymo taktika taip priklauso nuo jų rizikos. Labai didelės rizikos OPLK, kuriems yra didelė ligos atsinaujinimo po operacijos ar spindulinio gydymo rizika, rekomenduojamas (2A rekomendacijos) gydymo plano sudarymas multidisciplininio gydytojų – ekspertų  konsiliumo metu, radiologinis naviko išplitimo vertinimas arba, esant naviko atsinaujinimui ar nustačius keletą didelės rizikos savybių, spręsti dėl sarginio limfmazgio biopsijos.</w:t>
      </w:r>
    </w:p>
    <w:p w14:paraId="1E2AAD49" w14:textId="77777777" w:rsidR="002D10CD" w:rsidRPr="002D4FD8" w:rsidRDefault="002D10CD" w:rsidP="002D10CD">
      <w:pPr>
        <w:tabs>
          <w:tab w:val="left" w:pos="426"/>
        </w:tabs>
        <w:spacing w:line="276" w:lineRule="auto"/>
        <w:jc w:val="both"/>
        <w:rPr>
          <w:rFonts w:eastAsia="Arial"/>
          <w:iCs/>
        </w:rPr>
      </w:pPr>
      <w:r w:rsidRPr="002D4FD8">
        <w:tab/>
      </w:r>
      <w:r w:rsidRPr="002D4FD8">
        <w:tab/>
        <w:t>Jei operacijos metu pasiekiamas radikalus naviko pašalinimas, adjuvantinė radioterapija taikoma tik esant plačiam naviko išplitimui į nervų dangalus ar nervus ar pacientui nustatyti kiti blogos prognozės požymiai. Jei pacientai atitinka bent vieną labai didelės rizikos kriterijų (išplitimas į sritinius limfmazgius: arba didžiausio skersmuo ≥ 20 mm, arba išplitimas į ≥ 3 limfmazgius; naviko plitimas audinyje; T4 stadija (invazija į kaulinį audinį); išplitimas į nervų dangalus; ligos atsinaujinimas ir ≥1 papildomas rizikos kriterijus), po radioterapijos siūloma skirti adjuvantinę imunoterapiją cemiplimabu (2A rekomendacija).</w:t>
      </w:r>
    </w:p>
    <w:p w14:paraId="66468F47" w14:textId="02050D8E" w:rsidR="002D10CD" w:rsidRPr="002D4FD8" w:rsidRDefault="002D10CD" w:rsidP="002D10CD">
      <w:pPr>
        <w:tabs>
          <w:tab w:val="left" w:pos="426"/>
        </w:tabs>
        <w:spacing w:line="276" w:lineRule="auto"/>
        <w:jc w:val="both"/>
      </w:pPr>
      <w:r w:rsidRPr="002D4FD8">
        <w:rPr>
          <w:rFonts w:eastAsia="Arial"/>
          <w:iCs/>
        </w:rPr>
        <w:tab/>
      </w:r>
      <w:r w:rsidRPr="002D4FD8">
        <w:rPr>
          <w:rFonts w:eastAsia="Arial"/>
          <w:iCs/>
        </w:rPr>
        <w:tab/>
      </w:r>
      <w:r w:rsidRPr="002D4FD8">
        <w:t>Pareiškėjas siūlo, jog cemiplimabo monoterapija būtų taikoma adjuvantiniam rezektabilios OPLK pacientams, kuriems yra didelė ligos atsinaujinimo po operacijos ir spindulinio gydymo rizika, t.</w:t>
      </w:r>
      <w:r w:rsidR="002D4FD8" w:rsidRPr="002D4FD8">
        <w:t xml:space="preserve"> </w:t>
      </w:r>
      <w:r w:rsidRPr="002D4FD8">
        <w:t>y. papildys standartinę gydymo schemą: Lietuvoje šiuo metu šiems pacie</w:t>
      </w:r>
      <w:r w:rsidR="002D4FD8" w:rsidRPr="002D4FD8">
        <w:t>n</w:t>
      </w:r>
      <w:r w:rsidRPr="002D4FD8">
        <w:t>tams po operacijos ir spindulinio gydymo taikoma aktyvios stebėsenos taktika.</w:t>
      </w:r>
    </w:p>
    <w:p w14:paraId="3BF374C1" w14:textId="77777777" w:rsidR="002D10CD" w:rsidRPr="002D4FD8" w:rsidRDefault="002D10CD" w:rsidP="002D10CD">
      <w:pPr>
        <w:tabs>
          <w:tab w:val="left" w:pos="426"/>
        </w:tabs>
        <w:spacing w:line="276" w:lineRule="auto"/>
        <w:jc w:val="both"/>
        <w:rPr>
          <w:rFonts w:eastAsia="Arial"/>
          <w:iCs/>
          <w:highlight w:val="yellow"/>
        </w:rPr>
      </w:pPr>
    </w:p>
    <w:p w14:paraId="05D2E16A" w14:textId="77777777" w:rsidR="002D10CD" w:rsidRPr="002D4FD8" w:rsidRDefault="002D10CD" w:rsidP="002D10CD">
      <w:pPr>
        <w:widowControl w:val="0"/>
        <w:spacing w:line="276" w:lineRule="auto"/>
        <w:jc w:val="both"/>
        <w:rPr>
          <w:bCs/>
          <w:i/>
          <w:iCs/>
          <w:color w:val="000000"/>
          <w:lang w:eastAsia="lt-LT"/>
        </w:rPr>
      </w:pPr>
      <w:r w:rsidRPr="002D4FD8">
        <w:rPr>
          <w:bCs/>
          <w:i/>
          <w:iCs/>
          <w:color w:val="000000"/>
          <w:lang w:eastAsia="lt-LT"/>
        </w:rPr>
        <w:t>Tiesioginis palyginimas</w:t>
      </w:r>
    </w:p>
    <w:p w14:paraId="061E560F" w14:textId="77777777" w:rsidR="002D10CD" w:rsidRPr="002D4FD8" w:rsidRDefault="002D10CD" w:rsidP="002D10CD">
      <w:pPr>
        <w:widowControl w:val="0"/>
        <w:spacing w:line="276" w:lineRule="auto"/>
        <w:jc w:val="both"/>
        <w:rPr>
          <w:bCs/>
          <w:i/>
          <w:iCs/>
          <w:color w:val="000000"/>
          <w:highlight w:val="yellow"/>
          <w:lang w:eastAsia="lt-LT"/>
        </w:rPr>
      </w:pPr>
    </w:p>
    <w:p w14:paraId="54D839EA" w14:textId="77777777" w:rsidR="002D10CD" w:rsidRPr="002D4FD8" w:rsidRDefault="002D10CD" w:rsidP="002D10CD">
      <w:pPr>
        <w:tabs>
          <w:tab w:val="left" w:pos="492"/>
        </w:tabs>
        <w:spacing w:line="276" w:lineRule="auto"/>
        <w:jc w:val="both"/>
        <w:outlineLvl w:val="1"/>
        <w:rPr>
          <w:rFonts w:eastAsia="Arial"/>
          <w:bCs/>
        </w:rPr>
      </w:pPr>
      <w:r w:rsidRPr="002D4FD8">
        <w:rPr>
          <w:bCs/>
          <w:color w:val="000000"/>
          <w:lang w:eastAsia="lt-LT"/>
        </w:rPr>
        <w:tab/>
      </w:r>
      <w:r w:rsidRPr="002D4FD8">
        <w:rPr>
          <w:bCs/>
          <w:color w:val="000000"/>
          <w:lang w:eastAsia="lt-LT"/>
        </w:rPr>
        <w:tab/>
        <w:t xml:space="preserve">Palyginamasis veiksmingumas grindžiamas klinikinio tyrimo C–POST duomenimis. Jame įrodyta, jog 18 metų ir vyresniems geros funkcinės būklės (ECOG 0 arba 1) pacientams, kuriems </w:t>
      </w:r>
      <w:r w:rsidRPr="002D4FD8">
        <w:rPr>
          <w:rFonts w:eastAsia="Arial"/>
          <w:bCs/>
        </w:rPr>
        <w:t>nustatyta didelės rizikos rezektabili OPLK (T1-T4 N0-N3 M0), atlikta radikali makroskopinė naviko rezekcija ir iki įtraukimo į tyrimą užbaigta pooperacinė gydomoji (chemo)radioterapija</w:t>
      </w:r>
      <w:r w:rsidRPr="002D4FD8">
        <w:rPr>
          <w:bCs/>
        </w:rPr>
        <w:t>, adjuvantinė monoterapija cemiplimabu</w:t>
      </w:r>
      <w:r w:rsidRPr="002D4FD8">
        <w:rPr>
          <w:rFonts w:eastAsia="Arial"/>
          <w:bCs/>
        </w:rPr>
        <w:t xml:space="preserve"> ITT populiacijoje 68% (RS 0,32; 95% PI 0,20 – 0,51; p &lt; 0,0001) sumažino ligos atsinaujinimo riziką, lyginant su placebo. Išgyvenamumo be ligos mediana cemiplimabo grupėje buvo nepasiekta, placebo – 49,4 mėn. (95% PI 48,5 – nepasiekta). Panašūs </w:t>
      </w:r>
      <w:r w:rsidRPr="002D4FD8">
        <w:rPr>
          <w:rFonts w:eastAsia="Arial"/>
          <w:bCs/>
        </w:rPr>
        <w:lastRenderedPageBreak/>
        <w:t>rezultatai gauti iš esmės visuose iš anksto numatytuose pacientų pogrupiuose. Cemiplimabo grupėje įvyko 24 (11,5%), placebo – 65 (31,6%) pirminės baigties atvejai. Atsižvelgiant į statistinės analizės planą (į tyrimą įtraukiant 412 pacientus ir įvykus 165 pirminės baigties atvejams, tyrimas turėtų 90% statistinę galią nustatyti reikšmingą išgyvenamumo be ligos atsinaujinimo skirtumą dar grupių), šie duomenys vertintini kaip nebrandūs.</w:t>
      </w:r>
    </w:p>
    <w:p w14:paraId="0632B641" w14:textId="77777777" w:rsidR="002D10CD" w:rsidRPr="002D4FD8" w:rsidRDefault="002D10CD" w:rsidP="002D10CD">
      <w:pPr>
        <w:tabs>
          <w:tab w:val="left" w:pos="492"/>
        </w:tabs>
        <w:spacing w:line="276" w:lineRule="auto"/>
        <w:jc w:val="both"/>
        <w:outlineLvl w:val="1"/>
        <w:rPr>
          <w:rFonts w:eastAsia="Arial"/>
          <w:bCs/>
        </w:rPr>
      </w:pPr>
      <w:r w:rsidRPr="002D4FD8">
        <w:rPr>
          <w:rFonts w:eastAsia="Arial"/>
          <w:bCs/>
        </w:rPr>
        <w:t xml:space="preserve"> </w:t>
      </w:r>
      <w:r w:rsidRPr="002D4FD8">
        <w:rPr>
          <w:rFonts w:eastAsia="Arial"/>
          <w:bCs/>
        </w:rPr>
        <w:tab/>
      </w:r>
      <w:r w:rsidRPr="002D4FD8">
        <w:rPr>
          <w:rFonts w:eastAsia="Arial"/>
          <w:bCs/>
        </w:rPr>
        <w:tab/>
        <w:t>Vertinant antrines baigtis, vietinio ir atokaus ligos atsinaujinimo atvejų tikimybė cemiplimabo grupėje buvo mažesnė (vietinis ligos atsinaujinimas – 9 ir 40 atvejų; RS 0,20; 95% PI 0,09 – 0,40; atokusis ligos atsinaujinimas – 10 ir 26 atvejai; RS 0,35; 95% PI 0,17 – 0,72), lyginant su placebo. Pacientų bendras išgyvenamumas ir gyvenimo kokybė tarp grupių nesiskyrė.</w:t>
      </w:r>
    </w:p>
    <w:p w14:paraId="628692D5" w14:textId="77777777" w:rsidR="002D10CD" w:rsidRPr="002D4FD8" w:rsidRDefault="002D10CD" w:rsidP="002D10CD">
      <w:pPr>
        <w:tabs>
          <w:tab w:val="left" w:pos="492"/>
        </w:tabs>
        <w:spacing w:line="276" w:lineRule="auto"/>
        <w:jc w:val="both"/>
        <w:outlineLvl w:val="1"/>
        <w:rPr>
          <w:rFonts w:eastAsia="Arial"/>
          <w:bCs/>
        </w:rPr>
      </w:pPr>
      <w:r w:rsidRPr="002D4FD8">
        <w:rPr>
          <w:rFonts w:eastAsia="Arial"/>
          <w:bCs/>
        </w:rPr>
        <w:tab/>
      </w:r>
      <w:r w:rsidRPr="002D4FD8">
        <w:rPr>
          <w:rFonts w:eastAsia="Arial"/>
          <w:bCs/>
        </w:rPr>
        <w:tab/>
        <w:t>Vertinant saugumo duomenis, didelio laipsnio nepageidaujami reiškiniai buvo reikšmingai dažnesni cemiplimabo grupėje (cemiplimabo grupėje – 49 (23,9%), placebo – 29 (14,2%) pacientams, atitinkamai 20 (9,8%) ir 1 (0,5%) jų buvo susiję su tiriamuoju gydymu). Nors saugumo profilis iš esmės nesiskiria nuo kitų PD-1/PD-L1 inhibitorių, numatomas reikšmingai didesnis papildomas toksiškumas pacientams, lyginant su įprasta klinikine praktika.</w:t>
      </w:r>
    </w:p>
    <w:p w14:paraId="5FBBF08F" w14:textId="77777777" w:rsidR="002D10CD" w:rsidRPr="002D4FD8" w:rsidRDefault="002D10CD" w:rsidP="002D10CD">
      <w:pPr>
        <w:tabs>
          <w:tab w:val="left" w:pos="567"/>
        </w:tabs>
        <w:spacing w:line="276" w:lineRule="auto"/>
        <w:jc w:val="both"/>
        <w:rPr>
          <w:iCs/>
          <w:color w:val="00B050"/>
        </w:rPr>
      </w:pPr>
      <w:r w:rsidRPr="002D4FD8">
        <w:rPr>
          <w:rFonts w:eastAsia="Arial"/>
          <w:bCs/>
        </w:rPr>
        <w:tab/>
      </w:r>
      <w:r w:rsidRPr="002D4FD8">
        <w:rPr>
          <w:rFonts w:eastAsia="Arial"/>
          <w:bCs/>
        </w:rPr>
        <w:tab/>
        <w:t xml:space="preserve">Apibendrinant pateiktus duomenis, </w:t>
      </w:r>
      <w:r w:rsidRPr="002D4FD8">
        <w:rPr>
          <w:rFonts w:eastAsia="Arial"/>
        </w:rPr>
        <w:t>C–POST tyrimo duomenų pakanka įrodyti didesnį</w:t>
      </w:r>
      <w:r w:rsidRPr="002D4FD8">
        <w:rPr>
          <w:lang w:eastAsia="lt-LT"/>
        </w:rPr>
        <w:t xml:space="preserve"> adjuvantinio gydymo cemiplimabo monoterapija </w:t>
      </w:r>
      <w:r w:rsidRPr="002D4FD8">
        <w:rPr>
          <w:rFonts w:eastAsia="Arial"/>
        </w:rPr>
        <w:t xml:space="preserve">efektyvumą gydant pacientus, kuriems nustatyta </w:t>
      </w:r>
      <w:r w:rsidRPr="002D4FD8">
        <w:t>rezektabili OPLK ir didelė ligos atsinaujinimo po operacijos ir spindulinio gydymo rizika</w:t>
      </w:r>
      <w:r w:rsidRPr="002D4FD8">
        <w:rPr>
          <w:rFonts w:eastAsia="Arial"/>
        </w:rPr>
        <w:t>, lyginant su aktyvaus stebėjimo taktika. Dėl šios priežasties</w:t>
      </w:r>
      <w:r w:rsidRPr="002D4FD8">
        <w:rPr>
          <w:rFonts w:eastAsia="Arial"/>
          <w:bCs/>
        </w:rPr>
        <w:t xml:space="preserve"> cemiplimabo palyginamasis veiksmingumas vertinamas kaip didesnis, palyginus su įprasta klinikine praktika.</w:t>
      </w:r>
    </w:p>
    <w:p w14:paraId="6ABEAFFA" w14:textId="77777777" w:rsidR="00E75400" w:rsidRPr="002D4FD8" w:rsidRDefault="00E75400" w:rsidP="00A93AA6">
      <w:pPr>
        <w:pStyle w:val="ListParagraph"/>
        <w:tabs>
          <w:tab w:val="left" w:pos="426"/>
        </w:tabs>
        <w:ind w:left="0"/>
        <w:rPr>
          <w:b/>
          <w:bCs/>
          <w:caps/>
        </w:rPr>
      </w:pPr>
    </w:p>
    <w:p w14:paraId="7DE09EB5" w14:textId="69E9DD74" w:rsidR="00E03C3F" w:rsidRPr="002D4FD8" w:rsidRDefault="00CC7832" w:rsidP="00CC09D4">
      <w:pPr>
        <w:pStyle w:val="ListParagraph"/>
        <w:numPr>
          <w:ilvl w:val="0"/>
          <w:numId w:val="12"/>
        </w:numPr>
        <w:tabs>
          <w:tab w:val="left" w:pos="567"/>
        </w:tabs>
        <w:ind w:hanging="720"/>
        <w:rPr>
          <w:b/>
          <w:bCs/>
          <w:caps/>
        </w:rPr>
      </w:pPr>
      <w:r w:rsidRPr="002D4FD8">
        <w:rPr>
          <w:b/>
          <w:bCs/>
          <w:caps/>
        </w:rPr>
        <w:t xml:space="preserve">ekonominio vertinimo </w:t>
      </w:r>
      <w:r w:rsidR="002F0E4F" w:rsidRPr="002D4FD8">
        <w:rPr>
          <w:b/>
          <w:bCs/>
          <w:caps/>
        </w:rPr>
        <w:t>apibendrinimas</w:t>
      </w:r>
    </w:p>
    <w:p w14:paraId="5222A14A" w14:textId="77777777" w:rsidR="00E827C9" w:rsidRPr="002D4FD8" w:rsidRDefault="00E827C9" w:rsidP="00363F42">
      <w:pPr>
        <w:pStyle w:val="0TEXT"/>
        <w:spacing w:line="276" w:lineRule="auto"/>
        <w:ind w:firstLine="720"/>
        <w:rPr>
          <w:lang w:val="lt-LT" w:eastAsia="lt-LT"/>
        </w:rPr>
      </w:pPr>
      <w:r w:rsidRPr="002D4FD8">
        <w:rPr>
          <w:rFonts w:eastAsia="Arial"/>
          <w:lang w:val="lt-LT"/>
        </w:rPr>
        <w:t xml:space="preserve">Klinikinio vertinimo metu nustačius </w:t>
      </w:r>
      <w:r w:rsidRPr="002D4FD8">
        <w:rPr>
          <w:rFonts w:eastAsia="Arial"/>
          <w:i/>
          <w:iCs/>
          <w:lang w:val="lt-LT"/>
        </w:rPr>
        <w:t xml:space="preserve">didesnį </w:t>
      </w:r>
      <w:r w:rsidRPr="002D4FD8">
        <w:rPr>
          <w:rFonts w:eastAsia="Arial"/>
          <w:lang w:val="lt-LT"/>
        </w:rPr>
        <w:t>palyginamąjį veiksmingumą lyginant su įprasta klinikine praktika,</w:t>
      </w:r>
      <w:r w:rsidRPr="002D4FD8">
        <w:rPr>
          <w:lang w:val="lt-LT"/>
        </w:rPr>
        <w:t xml:space="preserve"> atliekamas </w:t>
      </w:r>
      <w:r w:rsidRPr="002D4FD8">
        <w:rPr>
          <w:rFonts w:eastAsia="Arial"/>
          <w:szCs w:val="22"/>
          <w:lang w:val="lt-LT"/>
        </w:rPr>
        <w:t xml:space="preserve">kaštų </w:t>
      </w:r>
      <w:r w:rsidRPr="002D4FD8">
        <w:rPr>
          <w:rFonts w:eastAsia="Arial"/>
          <w:i/>
          <w:iCs/>
          <w:szCs w:val="22"/>
          <w:lang w:val="lt-LT"/>
        </w:rPr>
        <w:t>naudingumo</w:t>
      </w:r>
      <w:r w:rsidRPr="002D4FD8">
        <w:rPr>
          <w:rFonts w:eastAsia="Arial"/>
          <w:szCs w:val="22"/>
          <w:lang w:val="lt-LT"/>
        </w:rPr>
        <w:t xml:space="preserve"> analizės vertinimas</w:t>
      </w:r>
      <w:r w:rsidRPr="002D4FD8">
        <w:rPr>
          <w:lang w:val="lt-LT"/>
        </w:rPr>
        <w:t xml:space="preserve">. </w:t>
      </w:r>
      <w:r w:rsidRPr="002D4FD8">
        <w:rPr>
          <w:lang w:val="lt-LT" w:eastAsia="lt-LT"/>
        </w:rPr>
        <w:t xml:space="preserve">Į ekonominę analizę įtraukti pacientai atitinka kompensacijai teikiamas terapines indikacijas. </w:t>
      </w:r>
      <w:r w:rsidRPr="002D4FD8">
        <w:rPr>
          <w:lang w:val="lt-LT"/>
        </w:rPr>
        <w:t xml:space="preserve">Į analizę įtraukti C-POST tyrimo duomenų pacientai. </w:t>
      </w:r>
      <w:r w:rsidRPr="002D4FD8">
        <w:rPr>
          <w:rFonts w:eastAsia="Arial"/>
          <w:szCs w:val="22"/>
          <w:lang w:val="lt-LT"/>
        </w:rPr>
        <w:t>Ekonominėje analizėje pateiktas palyginamasis gydymas atitinka įprastą Lietuvos Respublikos klinikinę praktiką.</w:t>
      </w:r>
      <w:r w:rsidRPr="002D4FD8">
        <w:rPr>
          <w:rFonts w:eastAsia="Arial"/>
          <w:bCs w:val="0"/>
          <w:szCs w:val="22"/>
          <w:lang w:val="lt-LT"/>
        </w:rPr>
        <w:t xml:space="preserve"> </w:t>
      </w:r>
      <w:r w:rsidRPr="002D4FD8">
        <w:rPr>
          <w:rFonts w:eastAsia="Arial"/>
          <w:i/>
          <w:szCs w:val="22"/>
          <w:lang w:val="lt-LT"/>
        </w:rPr>
        <w:t xml:space="preserve">Analizėje taikomas palyginamasis gydymas yra rutininis paciento stebėjimas – placebo (pacientas negauna aktyvaus gydymo). </w:t>
      </w:r>
      <w:r w:rsidRPr="002D4FD8">
        <w:rPr>
          <w:lang w:val="lt-LT"/>
        </w:rPr>
        <w:t xml:space="preserve">Dozavimas ir gydymo trukmė ekonominėje analizėje atitinka klinikiniuose įrodymuose pateiktą informaciją. Kaštai ir nauda diskontuoti pagal teisės aktuose nustatytus paraiškos rengimo taisyklių reikalavimus. Taikytas 3,5% diskontavimas. Analizė atlikta iš PSDF biudžeto perspektyvos, įtraukti tiesiogiai su sveikatos sistema susiję kaštai. Tai atitinka teisės aktuose nustatytus paraiškos rengimo taisyklių reikalavimus. </w:t>
      </w:r>
      <w:r w:rsidRPr="002D4FD8">
        <w:rPr>
          <w:lang w:val="lt-LT" w:eastAsia="lt-LT"/>
        </w:rPr>
        <w:t xml:space="preserve">Analizėje taikoma 30 metų, viso gyvenimo, laiko perspektyva. Pasirinkta laiko perspektyva yra tinkama. </w:t>
      </w:r>
      <w:r w:rsidRPr="002D4FD8">
        <w:rPr>
          <w:lang w:val="lt-LT"/>
        </w:rPr>
        <w:t>Analizėje taikomas modeliavimas, naudojamos trys sveikatos būklės. Pacientai į modelį patenka RF (recurrence-free) sveikatos būklėje, kurioje gauna gydymą cemiplimabu arba rutininį stebėjimą. Iš RF pacientai gali judėti į PR (post-recurrence) ar mirties būklę. P</w:t>
      </w:r>
      <w:r w:rsidRPr="002D4FD8">
        <w:rPr>
          <w:lang w:val="lt-LT" w:eastAsia="lt-LT"/>
        </w:rPr>
        <w:t>asirinktas modeliavimo metodas laikomas tinkamu, šališkumo nepastebėta.</w:t>
      </w:r>
    </w:p>
    <w:p w14:paraId="15928181" w14:textId="77777777" w:rsidR="00E827C9" w:rsidRPr="002D4FD8" w:rsidRDefault="00E827C9" w:rsidP="00363F42">
      <w:pPr>
        <w:pStyle w:val="0TEXT"/>
        <w:spacing w:line="276" w:lineRule="auto"/>
        <w:ind w:firstLine="720"/>
        <w:rPr>
          <w:lang w:val="lt-LT"/>
        </w:rPr>
      </w:pPr>
      <w:r w:rsidRPr="002D4FD8">
        <w:rPr>
          <w:lang w:val="lt-LT" w:eastAsia="lt-LT"/>
        </w:rPr>
        <w:t xml:space="preserve">Duomenys būklių perėjimo tikimybėms įvertinti, buvo gauti į C-POST tyrimo, duomenims taikyta ekstrapoliacija po klinikinio tyrimo trukmės. </w:t>
      </w:r>
      <w:r w:rsidRPr="002D4FD8">
        <w:rPr>
          <w:lang w:val="lt-LT"/>
        </w:rPr>
        <w:t xml:space="preserve">Tikrintas PH (proporcingų pavojų) prielaidos pritaikymas. Analizėje testuotos visos parametrinės funkcijos, tačiau pagrindinio atvejo analizėje rekomenduojama viena, kaip alternatyvos analizuojamos dvi kreivės - scenarijų analizėje. Modelių pasirinkimas buvo atliktas pagal NICE TSD rekomendacijas ir Palmer et al., 2023.  </w:t>
      </w:r>
      <w:r w:rsidRPr="002D4FD8">
        <w:rPr>
          <w:lang w:val="lt-LT" w:eastAsia="lt-LT"/>
        </w:rPr>
        <w:t>Pareiškėjo taikomos prielaidos, vertinant efektyvumo skirtumus tarp siūlomo ir palyginamojo gydymo ilgajame laikotarpyje gali būti laikomos pagrįstomis.</w:t>
      </w:r>
    </w:p>
    <w:p w14:paraId="307F01BD" w14:textId="77777777" w:rsidR="00E827C9" w:rsidRPr="002D4FD8" w:rsidRDefault="00E827C9" w:rsidP="00363F42">
      <w:pPr>
        <w:spacing w:line="276" w:lineRule="auto"/>
        <w:jc w:val="both"/>
      </w:pPr>
      <w:r w:rsidRPr="002D4FD8">
        <w:lastRenderedPageBreak/>
        <w:t>Po gydymo, modelyje pacientai, kurių liga neprogresuoja ilgą laiko tarpą, gali patekti į ilgalaikę remisiją. C-POST tyrime pastebėta, jog daugiausia ligos progresijos įvykių patiriama pirmaisiais metais. Pagrindinio atvejo analizėje pareiškėjas taikė 3 metų period, kai pacientai RF būklėje patenka į LTR (</w:t>
      </w:r>
      <w:r w:rsidRPr="002D4FD8">
        <w:rPr>
          <w:i/>
          <w:iCs/>
        </w:rPr>
        <w:t>long term remission</w:t>
      </w:r>
      <w:r w:rsidRPr="002D4FD8">
        <w:t>), buvo laikoma, jog jie patiria 95 proc. ligos atkryčio rizikos sumažėjimą. Tarnyba vertina, jog Pareiškėjo taikoma prielaida dėl ilgalaikės remisijos nėra svariai pagrindžiama, o taikoma pagal pastebėtą tendenciją. Dėl šios priežasties, Tarnyba pagrindinio atvejo analizėje netaiko ilgalaikės remisijos prielaidos – taip gaunamas konservatyvesnis analizės rezultatas.</w:t>
      </w:r>
    </w:p>
    <w:p w14:paraId="13727B44" w14:textId="6013C79A" w:rsidR="00E827C9" w:rsidRPr="002D4FD8" w:rsidRDefault="00E827C9" w:rsidP="00363F42">
      <w:pPr>
        <w:spacing w:line="276" w:lineRule="auto"/>
        <w:jc w:val="both"/>
      </w:pPr>
      <w:r w:rsidRPr="002D4FD8">
        <w:t>Pagrindinio atvejo analizėje Pareiškėjas PRS modeliavimui, aprašo PRS from C-POST, post recurrence cemiplimab only metodą. PRS įvertinimui taip pat pateikia ir kitų alternatyvių metodų. Tarnyba informuoja, jog Pareiškėjo pateiktas PRS modeliavimo pagrindimas gali būti laikomas priimtinu – atsižvelgiant į tai, jog yra pateikta PRS vertinimo alternatyvų. Vis dėlto, informuojame, jog Pareiškėjo pateiktame modelyje buvo pasirinktas kitas PRS įvertinimo metodas – PRS from C-POST (October 2024 DCO), n=79, tačiau Pareiškėjo yra aprašytas PRS vertinimo metodas cemiplimabą vartojusiems pacientams. Tarnyba sutinka, jog pagrindinio atvejo analizėje turėtų būti taikomas cemiplimabą vartojusių pacientų metodas iš C-POST tyrimo, nes Lietuvos klinikinėje praktikoje ligai progresavus, pacientai gali gauti cemiplimabą. Todėl, sutikdama su Pareiškėjo pateiktais a</w:t>
      </w:r>
      <w:r w:rsidR="002D4FD8">
        <w:t>rg</w:t>
      </w:r>
      <w:r w:rsidRPr="002D4FD8">
        <w:t xml:space="preserve">umentais, pagrindinio atvejo analizėje, modelyje Tarnyba renkasi PRS išgyvenamumo įvertinimui – PRS from C-POST, </w:t>
      </w:r>
      <w:r w:rsidRPr="002D4FD8">
        <w:rPr>
          <w:i/>
          <w:iCs/>
        </w:rPr>
        <w:t>post recurrence cemiplimab only</w:t>
      </w:r>
      <w:r w:rsidRPr="002D4FD8">
        <w:t xml:space="preserve">. Sutinkame su exponential funkcijos pasirinkimu – atsižvelgiant į statistinį tinkamumą. </w:t>
      </w:r>
    </w:p>
    <w:p w14:paraId="29EF9DBF" w14:textId="77777777" w:rsidR="00E827C9" w:rsidRPr="002D4FD8" w:rsidRDefault="00E827C9" w:rsidP="00363F42">
      <w:pPr>
        <w:spacing w:line="276" w:lineRule="auto"/>
        <w:jc w:val="both"/>
        <w:rPr>
          <w:lang w:eastAsia="lt-LT"/>
        </w:rPr>
      </w:pPr>
      <w:r w:rsidRPr="002D4FD8">
        <w:rPr>
          <w:lang w:eastAsia="lt-LT"/>
        </w:rPr>
        <w:t>Vertinimui pateikti gyvenimo kokybė koeficientai pagrindinio atvejo analizei bei gyvenimo kokybės koeficientų alternatyvos. Laikoma, jog analizės rezultatą galima interpretuoti su pateiktais gyvenimo kokybės įverčiais.</w:t>
      </w:r>
    </w:p>
    <w:p w14:paraId="68836B25" w14:textId="70B1E474" w:rsidR="00E827C9" w:rsidRPr="002D4FD8" w:rsidRDefault="00D34379" w:rsidP="00363F42">
      <w:pPr>
        <w:tabs>
          <w:tab w:val="left" w:pos="567"/>
        </w:tabs>
        <w:spacing w:line="276" w:lineRule="auto"/>
        <w:jc w:val="both"/>
        <w:rPr>
          <w:lang w:eastAsia="lt-LT"/>
        </w:rPr>
      </w:pPr>
      <w:r w:rsidRPr="002D4FD8">
        <w:rPr>
          <w:lang w:eastAsia="lt-LT"/>
        </w:rPr>
        <w:tab/>
      </w:r>
      <w:r w:rsidR="00E827C9" w:rsidRPr="002D4FD8">
        <w:rPr>
          <w:lang w:eastAsia="lt-LT"/>
        </w:rPr>
        <w:t>Kaštai analizėje buvo atnaujinti pagal 2026 II pusmečio duomenis.</w:t>
      </w:r>
    </w:p>
    <w:p w14:paraId="14B26494" w14:textId="77777777" w:rsidR="00E827C9" w:rsidRPr="002D4FD8" w:rsidRDefault="00E827C9" w:rsidP="00363F42">
      <w:pPr>
        <w:spacing w:line="276" w:lineRule="auto"/>
        <w:jc w:val="both"/>
        <w:rPr>
          <w:lang w:eastAsia="lt-LT"/>
        </w:rPr>
      </w:pPr>
      <w:r w:rsidRPr="002D4FD8">
        <w:rPr>
          <w:lang w:eastAsia="lt-LT"/>
        </w:rPr>
        <w:t>Tarnybai nėra aišku, ar analizėje taikomas asmens sveikatos priežiūros paslaugų poreikis atitinka Lietuvos klinikinę praktiką, tačiau atsižvelgiant į šių kaštų įtaką analizės rezultatui, laikoma, jog analizės rezultatą galima interpretuoti.</w:t>
      </w:r>
    </w:p>
    <w:p w14:paraId="1AC93817" w14:textId="40E9F9A3" w:rsidR="00E827C9" w:rsidRPr="002D4FD8" w:rsidRDefault="00E827C9" w:rsidP="00363F42">
      <w:pPr>
        <w:spacing w:line="276" w:lineRule="auto"/>
        <w:jc w:val="both"/>
        <w:rPr>
          <w:rFonts w:eastAsia="Arial"/>
        </w:rPr>
      </w:pPr>
      <w:r w:rsidRPr="002D4FD8">
        <w:rPr>
          <w:rFonts w:eastAsia="Arial"/>
        </w:rPr>
        <w:t xml:space="preserve">Vertinant analizės rezultatą, nustatyta, jog cemiplimabas nėra kaštams naudingas ir yra reikalinga papildoma bent </w:t>
      </w:r>
      <w:r w:rsidR="000E1DDC">
        <w:rPr>
          <w:rFonts w:eastAsia="Arial"/>
        </w:rPr>
        <w:t>***</w:t>
      </w:r>
      <w:r w:rsidRPr="002D4FD8">
        <w:rPr>
          <w:rFonts w:eastAsia="Arial"/>
        </w:rPr>
        <w:t>proc. nuolaida, kai ligos našta nustatyta lengva.</w:t>
      </w:r>
    </w:p>
    <w:p w14:paraId="34799848" w14:textId="5D053510" w:rsidR="00E827C9" w:rsidRPr="002D4FD8" w:rsidRDefault="00E827C9" w:rsidP="00363F42">
      <w:pPr>
        <w:spacing w:line="276" w:lineRule="auto"/>
        <w:jc w:val="both"/>
      </w:pPr>
      <w:r w:rsidRPr="002D4FD8">
        <w:t xml:space="preserve">Pagrindinio atvejo analizės rezultatas yra maždaug </w:t>
      </w:r>
      <w:r w:rsidR="00F2187F">
        <w:t>***</w:t>
      </w:r>
      <w:r w:rsidRPr="002D4FD8">
        <w:t xml:space="preserve"> eur/QALY. Analizuojant vienkryptės jautrumo analizės tornado diagramą, pastebima, jog analizės rezultatas, keičiant modelio įvestis kinta maždaug nuo </w:t>
      </w:r>
      <w:r w:rsidR="00F2187F">
        <w:t>***</w:t>
      </w:r>
      <w:r w:rsidRPr="002D4FD8">
        <w:t xml:space="preserve"> eur/QALY iki maždaug </w:t>
      </w:r>
      <w:r w:rsidR="00F2187F">
        <w:t>***</w:t>
      </w:r>
      <w:r w:rsidRPr="002D4FD8">
        <w:t xml:space="preserve"> eur/QALY. Didžiausią įtaką analizės rezultatui vienkryptėje jautrumo analizėje turi gyvenimo kokybės įverčiai PR sveikatos būklėje. Atsižvelgiant į tai, jog analizėje nustatyta lengva ligos našta ir </w:t>
      </w:r>
      <w:r w:rsidR="00F2187F">
        <w:t>***</w:t>
      </w:r>
      <w:r w:rsidRPr="002D4FD8">
        <w:t xml:space="preserve"> eur/QALY referencinė kaštų naudingumo vertė, o pagrindinio atvejo analizės rezultatas yra </w:t>
      </w:r>
      <w:r w:rsidR="00F2187F">
        <w:t>***</w:t>
      </w:r>
      <w:r w:rsidRPr="002D4FD8">
        <w:t xml:space="preserve"> eur/QALY ir reikalinga papildoma </w:t>
      </w:r>
      <w:r w:rsidR="00F2187F">
        <w:rPr>
          <w:b/>
          <w:bCs/>
        </w:rPr>
        <w:t>***</w:t>
      </w:r>
      <w:r w:rsidRPr="002D4FD8">
        <w:rPr>
          <w:b/>
          <w:bCs/>
        </w:rPr>
        <w:t xml:space="preserve"> proc. nuolaida</w:t>
      </w:r>
      <w:r w:rsidRPr="002D4FD8">
        <w:t xml:space="preserve"> cemiplimabui, gali būti laikoma, jog pateiktas kons</w:t>
      </w:r>
      <w:r w:rsidR="00D34379" w:rsidRPr="002D4FD8">
        <w:t>e</w:t>
      </w:r>
      <w:r w:rsidRPr="002D4FD8">
        <w:t>rvatyvus analizės rezultatas ir gavus reikalingą nuolaidą, cemiplimabą galima kompensuoti nurodytai indikacijai.</w:t>
      </w:r>
    </w:p>
    <w:p w14:paraId="56353442" w14:textId="77777777" w:rsidR="00E827C9" w:rsidRPr="002D4FD8" w:rsidRDefault="00E827C9" w:rsidP="00A93AA6">
      <w:pPr>
        <w:tabs>
          <w:tab w:val="left" w:pos="426"/>
        </w:tabs>
        <w:rPr>
          <w:b/>
          <w:bCs/>
          <w:caps/>
        </w:rPr>
      </w:pPr>
    </w:p>
    <w:p w14:paraId="174D84D7" w14:textId="09C7BC2B" w:rsidR="0035172D" w:rsidRPr="002D4FD8" w:rsidRDefault="00164D64" w:rsidP="00A93AA6">
      <w:pPr>
        <w:tabs>
          <w:tab w:val="left" w:pos="426"/>
        </w:tabs>
        <w:rPr>
          <w:b/>
          <w:lang w:eastAsia="lt-LT"/>
        </w:rPr>
      </w:pPr>
      <w:r w:rsidRPr="002D4FD8">
        <w:rPr>
          <w:b/>
          <w:lang w:eastAsia="lt-LT"/>
        </w:rPr>
        <w:t xml:space="preserve">3.1 </w:t>
      </w:r>
      <w:r w:rsidR="0035172D" w:rsidRPr="002D4FD8">
        <w:rPr>
          <w:b/>
          <w:lang w:eastAsia="lt-LT"/>
        </w:rPr>
        <w:t>Ekonominės analizės rezultatas</w:t>
      </w:r>
    </w:p>
    <w:p w14:paraId="4801D227" w14:textId="77777777" w:rsidR="009E44AE" w:rsidRPr="002D4FD8" w:rsidRDefault="009E44AE" w:rsidP="00A93AA6">
      <w:pPr>
        <w:tabs>
          <w:tab w:val="left" w:pos="426"/>
        </w:tabs>
        <w:rPr>
          <w:b/>
          <w:lang w:eastAsia="lt-LT"/>
        </w:rPr>
      </w:pPr>
    </w:p>
    <w:tbl>
      <w:tblPr>
        <w:tblStyle w:val="Lentelstinklelis1"/>
        <w:tblW w:w="943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200"/>
        <w:gridCol w:w="3239"/>
      </w:tblGrid>
      <w:tr w:rsidR="000203E1" w:rsidRPr="002D4FD8" w14:paraId="42D6C843" w14:textId="77777777" w:rsidTr="00BE7489">
        <w:trPr>
          <w:trHeight w:val="344"/>
          <w:jc w:val="center"/>
        </w:trPr>
        <w:tc>
          <w:tcPr>
            <w:tcW w:w="9439" w:type="dxa"/>
            <w:gridSpan w:val="2"/>
            <w:tcBorders>
              <w:top w:val="single" w:sz="12" w:space="0" w:color="auto"/>
              <w:left w:val="single" w:sz="4" w:space="0" w:color="auto"/>
              <w:right w:val="single" w:sz="4" w:space="0" w:color="auto"/>
            </w:tcBorders>
            <w:vAlign w:val="center"/>
          </w:tcPr>
          <w:p w14:paraId="39FD3B40" w14:textId="77777777" w:rsidR="009E44AE" w:rsidRPr="002D4FD8" w:rsidRDefault="009E44AE" w:rsidP="009E44AE">
            <w:pPr>
              <w:tabs>
                <w:tab w:val="left" w:pos="567"/>
              </w:tabs>
              <w:jc w:val="center"/>
              <w:rPr>
                <w:b/>
                <w:bCs/>
                <w:sz w:val="26"/>
                <w:szCs w:val="26"/>
                <w:lang w:eastAsia="lt-LT"/>
              </w:rPr>
            </w:pPr>
            <w:r w:rsidRPr="002D4FD8">
              <w:rPr>
                <w:b/>
                <w:bCs/>
                <w:sz w:val="26"/>
                <w:szCs w:val="26"/>
                <w:lang w:eastAsia="lt-LT"/>
              </w:rPr>
              <w:t>Rezultatai</w:t>
            </w:r>
          </w:p>
        </w:tc>
      </w:tr>
      <w:tr w:rsidR="000203E1" w:rsidRPr="002D4FD8" w14:paraId="319AF392" w14:textId="77777777" w:rsidTr="00E827C9">
        <w:trPr>
          <w:trHeight w:val="267"/>
          <w:jc w:val="center"/>
        </w:trPr>
        <w:tc>
          <w:tcPr>
            <w:tcW w:w="6200" w:type="dxa"/>
            <w:tcBorders>
              <w:left w:val="single" w:sz="4" w:space="0" w:color="auto"/>
            </w:tcBorders>
          </w:tcPr>
          <w:p w14:paraId="44CD8D27" w14:textId="27245A0B" w:rsidR="00BA5DBC" w:rsidRPr="002D4FD8" w:rsidRDefault="00BA5DBC" w:rsidP="00BA5DBC">
            <w:pPr>
              <w:tabs>
                <w:tab w:val="left" w:pos="567"/>
              </w:tabs>
              <w:jc w:val="right"/>
              <w:rPr>
                <w:iCs/>
                <w:lang w:eastAsia="lt-LT"/>
              </w:rPr>
            </w:pPr>
            <w:r w:rsidRPr="002D4FD8">
              <w:rPr>
                <w:iCs/>
                <w:lang w:eastAsia="lt-LT"/>
              </w:rPr>
              <w:t>Kaštų skirtumas</w:t>
            </w:r>
          </w:p>
        </w:tc>
        <w:tc>
          <w:tcPr>
            <w:tcW w:w="3239" w:type="dxa"/>
            <w:tcBorders>
              <w:right w:val="single" w:sz="4" w:space="0" w:color="auto"/>
            </w:tcBorders>
          </w:tcPr>
          <w:p w14:paraId="1CACF0B4" w14:textId="4C20D727" w:rsidR="00BA5DBC" w:rsidRPr="002D4FD8" w:rsidRDefault="00641D15" w:rsidP="00BA5DBC">
            <w:pPr>
              <w:tabs>
                <w:tab w:val="left" w:pos="567"/>
              </w:tabs>
              <w:jc w:val="both"/>
              <w:rPr>
                <w:i/>
                <w:iCs/>
                <w:lang w:eastAsia="lt-LT"/>
              </w:rPr>
            </w:pPr>
            <w:r>
              <w:rPr>
                <w:i/>
                <w:iCs/>
                <w:lang w:eastAsia="lt-LT"/>
              </w:rPr>
              <w:t>***</w:t>
            </w:r>
            <w:r w:rsidR="00E827C9" w:rsidRPr="002D4FD8">
              <w:rPr>
                <w:i/>
                <w:iCs/>
                <w:lang w:eastAsia="lt-LT"/>
              </w:rPr>
              <w:t xml:space="preserve"> eur</w:t>
            </w:r>
          </w:p>
        </w:tc>
      </w:tr>
      <w:tr w:rsidR="000203E1" w:rsidRPr="002D4FD8" w14:paraId="49F818A3" w14:textId="77777777" w:rsidTr="00E827C9">
        <w:trPr>
          <w:trHeight w:val="267"/>
          <w:jc w:val="center"/>
        </w:trPr>
        <w:tc>
          <w:tcPr>
            <w:tcW w:w="6200" w:type="dxa"/>
            <w:tcBorders>
              <w:left w:val="single" w:sz="4" w:space="0" w:color="auto"/>
            </w:tcBorders>
          </w:tcPr>
          <w:p w14:paraId="021DB925" w14:textId="389F1BF5" w:rsidR="00BA5DBC" w:rsidRPr="002D4FD8" w:rsidRDefault="00BA5DBC" w:rsidP="00BA5DBC">
            <w:pPr>
              <w:tabs>
                <w:tab w:val="left" w:pos="567"/>
              </w:tabs>
              <w:jc w:val="right"/>
              <w:rPr>
                <w:iCs/>
                <w:lang w:eastAsia="lt-LT"/>
              </w:rPr>
            </w:pPr>
            <w:r w:rsidRPr="002D4FD8">
              <w:rPr>
                <w:iCs/>
                <w:lang w:eastAsia="lt-LT"/>
              </w:rPr>
              <w:t>Papildomi gyvenimo metai (LY)</w:t>
            </w:r>
          </w:p>
        </w:tc>
        <w:tc>
          <w:tcPr>
            <w:tcW w:w="3239" w:type="dxa"/>
            <w:tcBorders>
              <w:right w:val="single" w:sz="4" w:space="0" w:color="auto"/>
            </w:tcBorders>
          </w:tcPr>
          <w:p w14:paraId="4954817B" w14:textId="5A128218" w:rsidR="00BA5DBC" w:rsidRPr="002D4FD8" w:rsidRDefault="00641D15" w:rsidP="00BA5DBC">
            <w:pPr>
              <w:tabs>
                <w:tab w:val="left" w:pos="567"/>
              </w:tabs>
              <w:jc w:val="both"/>
              <w:rPr>
                <w:i/>
                <w:iCs/>
                <w:lang w:eastAsia="lt-LT"/>
              </w:rPr>
            </w:pPr>
            <w:r>
              <w:rPr>
                <w:i/>
                <w:iCs/>
                <w:lang w:eastAsia="lt-LT"/>
              </w:rPr>
              <w:t>***</w:t>
            </w:r>
            <w:r w:rsidR="00E827C9" w:rsidRPr="002D4FD8">
              <w:rPr>
                <w:i/>
                <w:iCs/>
                <w:lang w:eastAsia="lt-LT"/>
              </w:rPr>
              <w:t xml:space="preserve"> LY</w:t>
            </w:r>
          </w:p>
        </w:tc>
      </w:tr>
      <w:tr w:rsidR="000203E1" w:rsidRPr="002D4FD8" w14:paraId="20ADA742" w14:textId="77777777" w:rsidTr="00E827C9">
        <w:trPr>
          <w:trHeight w:val="267"/>
          <w:jc w:val="center"/>
        </w:trPr>
        <w:tc>
          <w:tcPr>
            <w:tcW w:w="6200" w:type="dxa"/>
            <w:tcBorders>
              <w:left w:val="single" w:sz="4" w:space="0" w:color="auto"/>
            </w:tcBorders>
          </w:tcPr>
          <w:p w14:paraId="0F567576" w14:textId="2606A2E9" w:rsidR="00BA5DBC" w:rsidRPr="002D4FD8" w:rsidRDefault="0058712F" w:rsidP="00BA5DBC">
            <w:pPr>
              <w:tabs>
                <w:tab w:val="left" w:pos="567"/>
              </w:tabs>
              <w:jc w:val="right"/>
              <w:rPr>
                <w:iCs/>
                <w:lang w:eastAsia="lt-LT"/>
              </w:rPr>
            </w:pPr>
            <w:r w:rsidRPr="002D4FD8">
              <w:rPr>
                <w:iCs/>
                <w:lang w:eastAsia="lt-LT"/>
              </w:rPr>
              <w:t>Papildomi k</w:t>
            </w:r>
            <w:r w:rsidR="00BA5DBC" w:rsidRPr="002D4FD8">
              <w:rPr>
                <w:iCs/>
                <w:lang w:eastAsia="lt-LT"/>
              </w:rPr>
              <w:t>okybiški gyvenimo metai (QALY)</w:t>
            </w:r>
          </w:p>
        </w:tc>
        <w:tc>
          <w:tcPr>
            <w:tcW w:w="3239" w:type="dxa"/>
            <w:tcBorders>
              <w:right w:val="single" w:sz="4" w:space="0" w:color="auto"/>
            </w:tcBorders>
          </w:tcPr>
          <w:p w14:paraId="02E4DAE1" w14:textId="40477C92" w:rsidR="00BA5DBC" w:rsidRPr="002D4FD8" w:rsidRDefault="00641D15" w:rsidP="00BA5DBC">
            <w:pPr>
              <w:tabs>
                <w:tab w:val="left" w:pos="567"/>
              </w:tabs>
              <w:jc w:val="both"/>
              <w:rPr>
                <w:i/>
                <w:iCs/>
                <w:lang w:eastAsia="lt-LT"/>
              </w:rPr>
            </w:pPr>
            <w:r>
              <w:rPr>
                <w:i/>
                <w:iCs/>
                <w:lang w:eastAsia="lt-LT"/>
              </w:rPr>
              <w:t>***</w:t>
            </w:r>
            <w:r w:rsidR="00E827C9" w:rsidRPr="002D4FD8">
              <w:rPr>
                <w:i/>
                <w:iCs/>
                <w:lang w:eastAsia="lt-LT"/>
              </w:rPr>
              <w:t xml:space="preserve"> QALY</w:t>
            </w:r>
          </w:p>
        </w:tc>
      </w:tr>
      <w:tr w:rsidR="00E827C9" w:rsidRPr="002D4FD8" w14:paraId="1FADA2B3" w14:textId="77777777" w:rsidTr="00E827C9">
        <w:trPr>
          <w:trHeight w:val="267"/>
          <w:jc w:val="center"/>
        </w:trPr>
        <w:tc>
          <w:tcPr>
            <w:tcW w:w="6200" w:type="dxa"/>
            <w:tcBorders>
              <w:left w:val="single" w:sz="4" w:space="0" w:color="auto"/>
            </w:tcBorders>
          </w:tcPr>
          <w:p w14:paraId="13E089E8" w14:textId="0BCEB339" w:rsidR="00E827C9" w:rsidRPr="002D4FD8" w:rsidRDefault="00E827C9" w:rsidP="00E827C9">
            <w:pPr>
              <w:tabs>
                <w:tab w:val="left" w:pos="567"/>
              </w:tabs>
              <w:jc w:val="right"/>
              <w:rPr>
                <w:iCs/>
                <w:lang w:eastAsia="lt-LT"/>
              </w:rPr>
            </w:pPr>
            <w:r w:rsidRPr="002D4FD8">
              <w:rPr>
                <w:iCs/>
                <w:lang w:eastAsia="lt-LT"/>
              </w:rPr>
              <w:t>ICER už LY</w:t>
            </w:r>
          </w:p>
        </w:tc>
        <w:tc>
          <w:tcPr>
            <w:tcW w:w="3239" w:type="dxa"/>
            <w:tcBorders>
              <w:right w:val="single" w:sz="4" w:space="0" w:color="auto"/>
            </w:tcBorders>
          </w:tcPr>
          <w:p w14:paraId="2817448D" w14:textId="4633F624" w:rsidR="00E827C9" w:rsidRPr="002D4FD8" w:rsidRDefault="00641D15" w:rsidP="00E827C9">
            <w:pPr>
              <w:tabs>
                <w:tab w:val="left" w:pos="567"/>
              </w:tabs>
              <w:jc w:val="both"/>
              <w:rPr>
                <w:i/>
                <w:iCs/>
                <w:lang w:eastAsia="lt-LT"/>
              </w:rPr>
            </w:pPr>
            <w:r>
              <w:rPr>
                <w:i/>
                <w:iCs/>
                <w:lang w:eastAsia="lt-LT"/>
              </w:rPr>
              <w:t>***</w:t>
            </w:r>
            <w:r w:rsidR="00E827C9" w:rsidRPr="002D4FD8">
              <w:rPr>
                <w:i/>
                <w:iCs/>
                <w:lang w:eastAsia="lt-LT"/>
              </w:rPr>
              <w:t xml:space="preserve"> eur/LY</w:t>
            </w:r>
          </w:p>
        </w:tc>
      </w:tr>
      <w:tr w:rsidR="00E827C9" w:rsidRPr="002D4FD8" w14:paraId="250DE960" w14:textId="77777777" w:rsidTr="00E827C9">
        <w:trPr>
          <w:trHeight w:val="267"/>
          <w:jc w:val="center"/>
        </w:trPr>
        <w:tc>
          <w:tcPr>
            <w:tcW w:w="6200" w:type="dxa"/>
            <w:tcBorders>
              <w:left w:val="single" w:sz="4" w:space="0" w:color="auto"/>
            </w:tcBorders>
          </w:tcPr>
          <w:p w14:paraId="207EFB23" w14:textId="77777777" w:rsidR="00E827C9" w:rsidRPr="002D4FD8" w:rsidRDefault="00E827C9" w:rsidP="00E827C9">
            <w:pPr>
              <w:tabs>
                <w:tab w:val="left" w:pos="567"/>
              </w:tabs>
              <w:jc w:val="right"/>
              <w:rPr>
                <w:iCs/>
                <w:lang w:eastAsia="lt-LT"/>
              </w:rPr>
            </w:pPr>
            <w:r w:rsidRPr="002D4FD8">
              <w:rPr>
                <w:iCs/>
                <w:lang w:eastAsia="lt-LT"/>
              </w:rPr>
              <w:t>ICER už QALY</w:t>
            </w:r>
          </w:p>
        </w:tc>
        <w:tc>
          <w:tcPr>
            <w:tcW w:w="3239" w:type="dxa"/>
            <w:tcBorders>
              <w:right w:val="single" w:sz="4" w:space="0" w:color="auto"/>
            </w:tcBorders>
          </w:tcPr>
          <w:p w14:paraId="4275320D" w14:textId="6C168302" w:rsidR="00E827C9" w:rsidRPr="002D4FD8" w:rsidRDefault="00641D15" w:rsidP="00E827C9">
            <w:pPr>
              <w:tabs>
                <w:tab w:val="left" w:pos="567"/>
              </w:tabs>
              <w:jc w:val="both"/>
              <w:rPr>
                <w:i/>
                <w:iCs/>
                <w:lang w:eastAsia="lt-LT"/>
              </w:rPr>
            </w:pPr>
            <w:r>
              <w:rPr>
                <w:i/>
                <w:iCs/>
                <w:lang w:eastAsia="lt-LT"/>
              </w:rPr>
              <w:t>***</w:t>
            </w:r>
            <w:r w:rsidR="00E827C9" w:rsidRPr="002D4FD8">
              <w:rPr>
                <w:i/>
                <w:iCs/>
                <w:lang w:eastAsia="lt-LT"/>
              </w:rPr>
              <w:t xml:space="preserve"> eur/QALY</w:t>
            </w:r>
          </w:p>
        </w:tc>
      </w:tr>
      <w:tr w:rsidR="00E827C9" w:rsidRPr="002D4FD8" w14:paraId="2C4C68BA" w14:textId="77777777" w:rsidTr="00E827C9">
        <w:trPr>
          <w:trHeight w:val="267"/>
          <w:jc w:val="center"/>
        </w:trPr>
        <w:tc>
          <w:tcPr>
            <w:tcW w:w="6200" w:type="dxa"/>
            <w:tcBorders>
              <w:left w:val="single" w:sz="4" w:space="0" w:color="auto"/>
              <w:bottom w:val="single" w:sz="4" w:space="0" w:color="auto"/>
              <w:right w:val="single" w:sz="4" w:space="0" w:color="auto"/>
            </w:tcBorders>
          </w:tcPr>
          <w:p w14:paraId="21BEDABF" w14:textId="3471AFB3" w:rsidR="00E827C9" w:rsidRPr="002D4FD8" w:rsidRDefault="00E827C9" w:rsidP="00E827C9">
            <w:pPr>
              <w:tabs>
                <w:tab w:val="left" w:pos="567"/>
              </w:tabs>
              <w:jc w:val="right"/>
              <w:rPr>
                <w:iCs/>
                <w:lang w:eastAsia="lt-LT"/>
              </w:rPr>
            </w:pPr>
            <w:r w:rsidRPr="002D4FD8">
              <w:rPr>
                <w:iCs/>
                <w:lang w:eastAsia="lt-LT"/>
              </w:rPr>
              <w:t>Referencinė kaštų naudingumo vertė</w:t>
            </w:r>
          </w:p>
        </w:tc>
        <w:tc>
          <w:tcPr>
            <w:tcW w:w="3239" w:type="dxa"/>
            <w:tcBorders>
              <w:left w:val="single" w:sz="4" w:space="0" w:color="auto"/>
              <w:bottom w:val="single" w:sz="4" w:space="0" w:color="auto"/>
              <w:right w:val="single" w:sz="4" w:space="0" w:color="auto"/>
            </w:tcBorders>
          </w:tcPr>
          <w:p w14:paraId="31DAA72E" w14:textId="502CA7E3" w:rsidR="00E827C9" w:rsidRPr="002D4FD8" w:rsidRDefault="00641D15" w:rsidP="00E827C9">
            <w:pPr>
              <w:tabs>
                <w:tab w:val="left" w:pos="567"/>
              </w:tabs>
              <w:jc w:val="both"/>
              <w:rPr>
                <w:i/>
                <w:iCs/>
                <w:lang w:eastAsia="lt-LT"/>
              </w:rPr>
            </w:pPr>
            <w:r>
              <w:rPr>
                <w:i/>
                <w:iCs/>
                <w:lang w:eastAsia="lt-LT"/>
              </w:rPr>
              <w:t>***</w:t>
            </w:r>
            <w:r w:rsidR="00E827C9" w:rsidRPr="002D4FD8">
              <w:rPr>
                <w:i/>
                <w:iCs/>
                <w:lang w:eastAsia="lt-LT"/>
              </w:rPr>
              <w:t xml:space="preserve"> eur/QALY</w:t>
            </w:r>
          </w:p>
        </w:tc>
      </w:tr>
    </w:tbl>
    <w:p w14:paraId="5FC8C737" w14:textId="4136B7F4" w:rsidR="0035172D" w:rsidRPr="002D4FD8" w:rsidRDefault="00E5102E" w:rsidP="0035172D">
      <w:pPr>
        <w:tabs>
          <w:tab w:val="left" w:pos="567"/>
        </w:tabs>
        <w:jc w:val="both"/>
        <w:rPr>
          <w:iCs/>
          <w:sz w:val="20"/>
          <w:lang w:eastAsia="lt-LT"/>
        </w:rPr>
      </w:pPr>
      <w:r w:rsidRPr="002D4FD8">
        <w:rPr>
          <w:iCs/>
          <w:sz w:val="20"/>
          <w:lang w:eastAsia="lt-LT"/>
        </w:rPr>
        <w:lastRenderedPageBreak/>
        <w:t xml:space="preserve">ICER </w:t>
      </w:r>
      <w:r w:rsidR="00453862" w:rsidRPr="002D4FD8">
        <w:rPr>
          <w:iCs/>
          <w:sz w:val="20"/>
          <w:lang w:eastAsia="lt-LT"/>
        </w:rPr>
        <w:t>– (</w:t>
      </w:r>
      <w:r w:rsidR="00453862" w:rsidRPr="002D4FD8">
        <w:rPr>
          <w:i/>
          <w:sz w:val="20"/>
          <w:lang w:eastAsia="lt-LT"/>
        </w:rPr>
        <w:t>angl. incremental cost-effectiveness ratio</w:t>
      </w:r>
      <w:r w:rsidR="00453862" w:rsidRPr="002D4FD8">
        <w:rPr>
          <w:iCs/>
          <w:sz w:val="20"/>
          <w:lang w:eastAsia="lt-LT"/>
        </w:rPr>
        <w:t>) inkrementinis kaštų naudingumo koeficientas</w:t>
      </w:r>
      <w:r w:rsidRPr="002D4FD8">
        <w:rPr>
          <w:iCs/>
          <w:sz w:val="20"/>
          <w:lang w:eastAsia="lt-LT"/>
        </w:rPr>
        <w:t>; LY –</w:t>
      </w:r>
      <w:r w:rsidR="00453862" w:rsidRPr="002D4FD8">
        <w:rPr>
          <w:iCs/>
          <w:sz w:val="20"/>
          <w:lang w:eastAsia="lt-LT"/>
        </w:rPr>
        <w:t xml:space="preserve"> (</w:t>
      </w:r>
      <w:r w:rsidR="00453862" w:rsidRPr="002D4FD8">
        <w:rPr>
          <w:i/>
          <w:sz w:val="20"/>
          <w:lang w:eastAsia="lt-LT"/>
        </w:rPr>
        <w:t>angl. life years</w:t>
      </w:r>
      <w:r w:rsidR="00453862" w:rsidRPr="002D4FD8">
        <w:rPr>
          <w:iCs/>
          <w:sz w:val="20"/>
          <w:lang w:eastAsia="lt-LT"/>
        </w:rPr>
        <w:t>) gyvenimo metai</w:t>
      </w:r>
      <w:r w:rsidRPr="002D4FD8">
        <w:rPr>
          <w:iCs/>
          <w:sz w:val="20"/>
          <w:lang w:eastAsia="lt-LT"/>
        </w:rPr>
        <w:t xml:space="preserve">; QALY- </w:t>
      </w:r>
      <w:r w:rsidR="00453862" w:rsidRPr="002D4FD8">
        <w:rPr>
          <w:iCs/>
          <w:sz w:val="20"/>
          <w:lang w:eastAsia="lt-LT"/>
        </w:rPr>
        <w:t>(</w:t>
      </w:r>
      <w:r w:rsidR="00453862" w:rsidRPr="002D4FD8">
        <w:rPr>
          <w:i/>
          <w:sz w:val="20"/>
          <w:lang w:eastAsia="lt-LT"/>
        </w:rPr>
        <w:t xml:space="preserve">angl. quality adjusted life years) </w:t>
      </w:r>
      <w:r w:rsidR="00453862" w:rsidRPr="002D4FD8">
        <w:rPr>
          <w:iCs/>
          <w:sz w:val="20"/>
          <w:lang w:eastAsia="lt-LT"/>
        </w:rPr>
        <w:t>kokybiški gyvenimo metai.</w:t>
      </w:r>
    </w:p>
    <w:p w14:paraId="33875138" w14:textId="77777777" w:rsidR="0035172D" w:rsidRPr="002D4FD8" w:rsidRDefault="0035172D" w:rsidP="00A93AA6">
      <w:pPr>
        <w:tabs>
          <w:tab w:val="left" w:pos="426"/>
        </w:tabs>
        <w:rPr>
          <w:b/>
          <w:bCs/>
          <w:caps/>
        </w:rPr>
      </w:pPr>
    </w:p>
    <w:p w14:paraId="4FC424F9" w14:textId="4E767245" w:rsidR="00C62B36" w:rsidRPr="002D4FD8" w:rsidRDefault="00C62B36" w:rsidP="00CC09D4">
      <w:pPr>
        <w:pStyle w:val="ListParagraph"/>
        <w:numPr>
          <w:ilvl w:val="0"/>
          <w:numId w:val="12"/>
        </w:numPr>
        <w:tabs>
          <w:tab w:val="left" w:pos="567"/>
        </w:tabs>
        <w:ind w:hanging="720"/>
        <w:rPr>
          <w:b/>
          <w:bCs/>
          <w:caps/>
        </w:rPr>
      </w:pPr>
      <w:r w:rsidRPr="002D4FD8">
        <w:rPr>
          <w:b/>
          <w:bCs/>
          <w:caps/>
        </w:rPr>
        <w:t xml:space="preserve">Pacientų organizacijų pateikti duomenys </w:t>
      </w:r>
    </w:p>
    <w:p w14:paraId="54351841" w14:textId="77777777" w:rsidR="00C9728E" w:rsidRPr="002D4FD8" w:rsidRDefault="00C9728E" w:rsidP="00C9728E">
      <w:pPr>
        <w:pStyle w:val="ListParagraph"/>
        <w:tabs>
          <w:tab w:val="left" w:pos="567"/>
        </w:tabs>
        <w:rPr>
          <w:b/>
          <w:bCs/>
          <w:caps/>
        </w:rPr>
      </w:pPr>
    </w:p>
    <w:p w14:paraId="62992180" w14:textId="79943F28" w:rsidR="00937907" w:rsidRPr="002D4FD8" w:rsidRDefault="00937907" w:rsidP="00937907">
      <w:pPr>
        <w:spacing w:after="120"/>
        <w:jc w:val="both"/>
      </w:pPr>
      <w:r w:rsidRPr="002D4FD8">
        <w:t xml:space="preserve">Pacientų organizacijos pozicija </w:t>
      </w:r>
      <w:r w:rsidR="00880A44" w:rsidRPr="002D4FD8">
        <w:t>ne</w:t>
      </w:r>
      <w:r w:rsidRPr="002D4FD8">
        <w:t>pateikta.</w:t>
      </w:r>
    </w:p>
    <w:p w14:paraId="03E73D82" w14:textId="77777777" w:rsidR="00D417D2" w:rsidRPr="002D4FD8" w:rsidRDefault="00D417D2" w:rsidP="00937907">
      <w:pPr>
        <w:spacing w:after="120"/>
        <w:jc w:val="both"/>
      </w:pPr>
    </w:p>
    <w:p w14:paraId="3D3277FA" w14:textId="09414FFF" w:rsidR="00C62B36" w:rsidRPr="002D4FD8" w:rsidRDefault="00D67BAF" w:rsidP="00CC09D4">
      <w:pPr>
        <w:pStyle w:val="ListParagraph"/>
        <w:numPr>
          <w:ilvl w:val="0"/>
          <w:numId w:val="12"/>
        </w:numPr>
        <w:tabs>
          <w:tab w:val="left" w:pos="567"/>
        </w:tabs>
        <w:ind w:hanging="720"/>
        <w:rPr>
          <w:b/>
          <w:bCs/>
          <w:caps/>
        </w:rPr>
      </w:pPr>
      <w:r w:rsidRPr="002D4FD8">
        <w:rPr>
          <w:b/>
          <w:bCs/>
          <w:caps/>
        </w:rPr>
        <w:t xml:space="preserve">SVEIKATOS PRIEŽIŪROS SPECIALISTŲ </w:t>
      </w:r>
      <w:r w:rsidR="00C62B36" w:rsidRPr="002D4FD8">
        <w:rPr>
          <w:b/>
          <w:bCs/>
          <w:caps/>
        </w:rPr>
        <w:t xml:space="preserve"> organizacijų pateikti duomenys</w:t>
      </w:r>
    </w:p>
    <w:p w14:paraId="044D5084" w14:textId="77777777" w:rsidR="00C9728E" w:rsidRPr="002D4FD8" w:rsidRDefault="00C9728E" w:rsidP="00C9728E">
      <w:pPr>
        <w:pStyle w:val="ListParagraph"/>
        <w:tabs>
          <w:tab w:val="left" w:pos="567"/>
        </w:tabs>
        <w:rPr>
          <w:b/>
          <w:bCs/>
          <w:caps/>
        </w:rPr>
      </w:pPr>
    </w:p>
    <w:p w14:paraId="5D8CC48C" w14:textId="4707256F" w:rsidR="00662983" w:rsidRPr="002D4FD8" w:rsidRDefault="00D67BAF" w:rsidP="00662983">
      <w:pPr>
        <w:spacing w:after="120"/>
        <w:jc w:val="both"/>
      </w:pPr>
      <w:r w:rsidRPr="002D4FD8">
        <w:t>S</w:t>
      </w:r>
      <w:r w:rsidRPr="002D4FD8">
        <w:rPr>
          <w:bCs/>
        </w:rPr>
        <w:t>veikatos priežiūros specialistų</w:t>
      </w:r>
      <w:r w:rsidR="00937907" w:rsidRPr="002D4FD8">
        <w:t xml:space="preserve"> organizacijos pozicija </w:t>
      </w:r>
      <w:r w:rsidR="00880A44" w:rsidRPr="002D4FD8">
        <w:t>ne</w:t>
      </w:r>
      <w:r w:rsidR="00937907" w:rsidRPr="002D4FD8">
        <w:t>pateikta.</w:t>
      </w:r>
    </w:p>
    <w:p w14:paraId="3701D46A" w14:textId="77777777" w:rsidR="00A042B9" w:rsidRPr="002D4FD8" w:rsidRDefault="00A042B9" w:rsidP="00662983">
      <w:pPr>
        <w:spacing w:after="120"/>
        <w:jc w:val="both"/>
      </w:pPr>
    </w:p>
    <w:p w14:paraId="78F23ECB" w14:textId="3ED5BFD5" w:rsidR="002F0E4F" w:rsidRPr="002D4FD8" w:rsidRDefault="002F0E4F" w:rsidP="00CC09D4">
      <w:pPr>
        <w:pStyle w:val="ListParagraph"/>
        <w:numPr>
          <w:ilvl w:val="0"/>
          <w:numId w:val="12"/>
        </w:numPr>
        <w:tabs>
          <w:tab w:val="left" w:pos="567"/>
        </w:tabs>
        <w:ind w:hanging="720"/>
        <w:rPr>
          <w:b/>
          <w:bCs/>
          <w:caps/>
        </w:rPr>
      </w:pPr>
      <w:r w:rsidRPr="002D4FD8">
        <w:rPr>
          <w:b/>
          <w:bCs/>
          <w:caps/>
        </w:rPr>
        <w:t>Išvad</w:t>
      </w:r>
      <w:r w:rsidR="00B811A4" w:rsidRPr="002D4FD8">
        <w:rPr>
          <w:b/>
          <w:bCs/>
          <w:caps/>
        </w:rPr>
        <w:t>OS</w:t>
      </w:r>
      <w:r w:rsidRPr="002D4FD8">
        <w:rPr>
          <w:b/>
          <w:bCs/>
          <w:caps/>
        </w:rPr>
        <w:t xml:space="preserve"> </w:t>
      </w:r>
    </w:p>
    <w:p w14:paraId="30069D85" w14:textId="77777777" w:rsidR="0061611B" w:rsidRPr="002D4FD8" w:rsidRDefault="0061611B" w:rsidP="0061611B">
      <w:pPr>
        <w:ind w:left="360"/>
        <w:rPr>
          <w:i/>
          <w:szCs w:val="22"/>
        </w:rPr>
      </w:pPr>
    </w:p>
    <w:tbl>
      <w:tblPr>
        <w:tblStyle w:val="TableGrid"/>
        <w:tblW w:w="0" w:type="auto"/>
        <w:tblInd w:w="-5" w:type="dxa"/>
        <w:tblLook w:val="04A0" w:firstRow="1" w:lastRow="0" w:firstColumn="1" w:lastColumn="0" w:noHBand="0" w:noVBand="1"/>
      </w:tblPr>
      <w:tblGrid>
        <w:gridCol w:w="4820"/>
        <w:gridCol w:w="4814"/>
      </w:tblGrid>
      <w:tr w:rsidR="00B811A4" w:rsidRPr="002D4FD8" w14:paraId="4D5EFB83" w14:textId="77777777" w:rsidTr="007111C4">
        <w:trPr>
          <w:trHeight w:val="510"/>
        </w:trPr>
        <w:tc>
          <w:tcPr>
            <w:tcW w:w="9634" w:type="dxa"/>
            <w:gridSpan w:val="2"/>
            <w:vAlign w:val="center"/>
          </w:tcPr>
          <w:p w14:paraId="294EC16B"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Style2"/>
                <w:rFonts w:eastAsia="MS Gothic"/>
                <w:b/>
                <w:bCs/>
                <w:sz w:val="23"/>
                <w:szCs w:val="23"/>
              </w:rPr>
            </w:pPr>
            <w:bookmarkStart w:id="1" w:name="_Hlk185430554"/>
            <w:r w:rsidRPr="002D4FD8">
              <w:rPr>
                <w:rStyle w:val="Style2"/>
                <w:rFonts w:eastAsia="MS Gothic"/>
                <w:b/>
                <w:bCs/>
                <w:sz w:val="23"/>
                <w:szCs w:val="23"/>
              </w:rPr>
              <w:t>Palyginamasis veiksmingumas</w:t>
            </w:r>
          </w:p>
        </w:tc>
      </w:tr>
      <w:tr w:rsidR="00B811A4" w:rsidRPr="002D4FD8" w14:paraId="30B67515" w14:textId="77777777" w:rsidTr="007111C4">
        <w:tc>
          <w:tcPr>
            <w:tcW w:w="4820" w:type="dxa"/>
          </w:tcPr>
          <w:p w14:paraId="4FE3C208" w14:textId="12E68966" w:rsidR="00B811A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1397324644"/>
                <w15:color w:val="FFCC00"/>
                <w14:checkbox>
                  <w14:checked w14:val="1"/>
                  <w14:checkedState w14:val="2612" w14:font="MS Gothic"/>
                  <w14:uncheckedState w14:val="2610" w14:font="MS Gothic"/>
                </w14:checkbox>
              </w:sdtPr>
              <w:sdtContent>
                <w:r w:rsidR="0021231B" w:rsidRPr="002D4FD8">
                  <w:rPr>
                    <w:rStyle w:val="Style2"/>
                    <w:rFonts w:ascii="MS Gothic" w:eastAsia="MS Gothic" w:hAnsi="MS Gothic"/>
                    <w:sz w:val="23"/>
                    <w:szCs w:val="23"/>
                  </w:rPr>
                  <w:t>☒</w:t>
                </w:r>
              </w:sdtContent>
            </w:sdt>
            <w:r w:rsidR="00B811A4" w:rsidRPr="002D4FD8">
              <w:rPr>
                <w:rStyle w:val="Style2"/>
                <w:sz w:val="23"/>
                <w:szCs w:val="23"/>
              </w:rPr>
              <w:t xml:space="preserve"> 29</w:t>
            </w:r>
            <w:r w:rsidR="00B811A4" w:rsidRPr="002D4FD8">
              <w:rPr>
                <w:sz w:val="23"/>
                <w:szCs w:val="23"/>
              </w:rPr>
              <w:t>.1.1 yra didesnis, lyginant su įprasta klinikine praktika</w:t>
            </w:r>
          </w:p>
          <w:p w14:paraId="6F9786E4"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231EDECD" w14:textId="77777777" w:rsidR="00B811A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sz w:val="23"/>
                <w:szCs w:val="23"/>
              </w:rPr>
            </w:pPr>
            <w:sdt>
              <w:sdtPr>
                <w:rPr>
                  <w:rStyle w:val="Style2"/>
                  <w:sz w:val="23"/>
                  <w:szCs w:val="23"/>
                </w:rPr>
                <w:id w:val="418297090"/>
                <w15:color w:val="FFCC00"/>
                <w14:checkbox>
                  <w14:checked w14:val="0"/>
                  <w14:checkedState w14:val="2612" w14:font="MS Gothic"/>
                  <w14:uncheckedState w14:val="2610" w14:font="MS Gothic"/>
                </w14:checkbox>
              </w:sdtPr>
              <w:sdtContent>
                <w:r w:rsidR="00B811A4" w:rsidRPr="002D4FD8">
                  <w:rPr>
                    <w:rStyle w:val="Style2"/>
                    <w:rFonts w:ascii="Segoe UI Symbol" w:eastAsia="MS Gothic" w:hAnsi="Segoe UI Symbol" w:cs="Segoe UI Symbol"/>
                    <w:sz w:val="23"/>
                    <w:szCs w:val="23"/>
                  </w:rPr>
                  <w:t>☐</w:t>
                </w:r>
              </w:sdtContent>
            </w:sdt>
            <w:r w:rsidR="00B811A4" w:rsidRPr="002D4FD8">
              <w:rPr>
                <w:sz w:val="23"/>
                <w:szCs w:val="23"/>
              </w:rPr>
              <w:t xml:space="preserve"> </w:t>
            </w:r>
            <w:r w:rsidR="00B811A4" w:rsidRPr="002D4FD8">
              <w:rPr>
                <w:rStyle w:val="Style2"/>
                <w:sz w:val="23"/>
                <w:szCs w:val="23"/>
              </w:rPr>
              <w:t>29</w:t>
            </w:r>
            <w:r w:rsidR="00B811A4" w:rsidRPr="002D4FD8">
              <w:rPr>
                <w:sz w:val="23"/>
                <w:szCs w:val="23"/>
              </w:rPr>
              <w:t>.1.2 iš esmės nesiskiria, lyginant su įprasta klinikine praktika</w:t>
            </w:r>
          </w:p>
        </w:tc>
        <w:tc>
          <w:tcPr>
            <w:tcW w:w="4814" w:type="dxa"/>
          </w:tcPr>
          <w:p w14:paraId="72562F9E" w14:textId="77777777" w:rsidR="00B811A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724755596"/>
                <w15:color w:val="FFCC00"/>
                <w14:checkbox>
                  <w14:checked w14:val="0"/>
                  <w14:checkedState w14:val="2612" w14:font="MS Gothic"/>
                  <w14:uncheckedState w14:val="2610" w14:font="MS Gothic"/>
                </w14:checkbox>
              </w:sdtPr>
              <w:sdtContent>
                <w:r w:rsidR="00B811A4" w:rsidRPr="002D4FD8">
                  <w:rPr>
                    <w:rStyle w:val="Style2"/>
                    <w:rFonts w:ascii="Segoe UI Symbol" w:eastAsia="MS Gothic" w:hAnsi="Segoe UI Symbol" w:cs="Segoe UI Symbol"/>
                    <w:sz w:val="23"/>
                    <w:szCs w:val="23"/>
                  </w:rPr>
                  <w:t>☐</w:t>
                </w:r>
              </w:sdtContent>
            </w:sdt>
            <w:r w:rsidR="00B811A4" w:rsidRPr="002D4FD8">
              <w:rPr>
                <w:sz w:val="23"/>
                <w:szCs w:val="23"/>
              </w:rPr>
              <w:t xml:space="preserve"> </w:t>
            </w:r>
            <w:r w:rsidR="00B811A4" w:rsidRPr="002D4FD8">
              <w:rPr>
                <w:rStyle w:val="Style2"/>
                <w:sz w:val="23"/>
                <w:szCs w:val="23"/>
              </w:rPr>
              <w:t>29</w:t>
            </w:r>
            <w:r w:rsidR="00B811A4" w:rsidRPr="002D4FD8">
              <w:rPr>
                <w:sz w:val="23"/>
                <w:szCs w:val="23"/>
              </w:rPr>
              <w:t xml:space="preserve">.1.3 yra neįrodytas kaip didesnis  ar iš esmės nesiskiriantis, lyginant su įprasta klinikine praktika  </w:t>
            </w:r>
          </w:p>
          <w:p w14:paraId="6F6DB5BC"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5EE1D885" w14:textId="77777777" w:rsidR="00B811A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1862168479"/>
                <w15:color w:val="FFCC00"/>
                <w14:checkbox>
                  <w14:checked w14:val="0"/>
                  <w14:checkedState w14:val="2612" w14:font="MS Gothic"/>
                  <w14:uncheckedState w14:val="2610" w14:font="MS Gothic"/>
                </w14:checkbox>
              </w:sdtPr>
              <w:sdtContent>
                <w:r w:rsidR="00B811A4" w:rsidRPr="002D4FD8">
                  <w:rPr>
                    <w:rStyle w:val="Style2"/>
                    <w:rFonts w:ascii="Segoe UI Symbol" w:eastAsia="MS Gothic" w:hAnsi="Segoe UI Symbol" w:cs="Segoe UI Symbol"/>
                    <w:sz w:val="23"/>
                    <w:szCs w:val="23"/>
                  </w:rPr>
                  <w:t>☐</w:t>
                </w:r>
              </w:sdtContent>
            </w:sdt>
            <w:r w:rsidR="00B811A4" w:rsidRPr="002D4FD8">
              <w:rPr>
                <w:sz w:val="23"/>
                <w:szCs w:val="23"/>
              </w:rPr>
              <w:t xml:space="preserve"> </w:t>
            </w:r>
            <w:r w:rsidR="00B811A4" w:rsidRPr="002D4FD8">
              <w:rPr>
                <w:rStyle w:val="Style2"/>
                <w:sz w:val="23"/>
                <w:szCs w:val="23"/>
              </w:rPr>
              <w:t>29</w:t>
            </w:r>
            <w:r w:rsidR="00B811A4" w:rsidRPr="002D4FD8">
              <w:rPr>
                <w:sz w:val="23"/>
                <w:szCs w:val="23"/>
              </w:rPr>
              <w:t>.1.4 yra mažesnis, lyginant su įprasta klinikine praktika</w:t>
            </w:r>
          </w:p>
          <w:p w14:paraId="193C3D76"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370E94DC" w14:textId="4EC80DB9" w:rsidR="00B811A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1857960180"/>
                <w15:color w:val="FFCC00"/>
                <w14:checkbox>
                  <w14:checked w14:val="0"/>
                  <w14:checkedState w14:val="2612" w14:font="MS Gothic"/>
                  <w14:uncheckedState w14:val="2610" w14:font="MS Gothic"/>
                </w14:checkbox>
              </w:sdtPr>
              <w:sdtContent>
                <w:r w:rsidR="00B811A4" w:rsidRPr="002D4FD8">
                  <w:rPr>
                    <w:rStyle w:val="Style2"/>
                    <w:rFonts w:ascii="Segoe UI Symbol" w:eastAsia="MS Gothic" w:hAnsi="Segoe UI Symbol" w:cs="Segoe UI Symbol"/>
                    <w:sz w:val="23"/>
                    <w:szCs w:val="23"/>
                  </w:rPr>
                  <w:t>☐</w:t>
                </w:r>
              </w:sdtContent>
            </w:sdt>
            <w:r w:rsidR="00B811A4" w:rsidRPr="002D4FD8">
              <w:rPr>
                <w:sz w:val="23"/>
                <w:szCs w:val="23"/>
              </w:rPr>
              <w:t xml:space="preserve"> </w:t>
            </w:r>
            <w:r w:rsidR="00B811A4" w:rsidRPr="002D4FD8">
              <w:rPr>
                <w:rStyle w:val="Style2"/>
                <w:sz w:val="23"/>
                <w:szCs w:val="23"/>
              </w:rPr>
              <w:t>29</w:t>
            </w:r>
            <w:r w:rsidR="00B811A4" w:rsidRPr="002D4FD8">
              <w:rPr>
                <w:sz w:val="23"/>
                <w:szCs w:val="23"/>
              </w:rPr>
              <w:t>.1.5 pateikti duomenys apie palyginamąjį veiksmingumą yra netinkami vertinti</w:t>
            </w:r>
          </w:p>
          <w:p w14:paraId="45719037"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r>
      <w:bookmarkEnd w:id="1"/>
      <w:tr w:rsidR="00B811A4" w:rsidRPr="002D4FD8" w14:paraId="0E0F5168" w14:textId="77777777" w:rsidTr="00743956">
        <w:trPr>
          <w:trHeight w:val="510"/>
        </w:trPr>
        <w:tc>
          <w:tcPr>
            <w:tcW w:w="9634" w:type="dxa"/>
            <w:gridSpan w:val="2"/>
            <w:vAlign w:val="center"/>
          </w:tcPr>
          <w:p w14:paraId="62B67E12"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Style2"/>
                <w:rFonts w:eastAsia="MS Gothic"/>
                <w:b/>
                <w:bCs/>
                <w:sz w:val="23"/>
                <w:szCs w:val="23"/>
              </w:rPr>
            </w:pPr>
            <w:r w:rsidRPr="002D4FD8">
              <w:rPr>
                <w:rStyle w:val="Style2"/>
                <w:rFonts w:eastAsia="MS Gothic"/>
                <w:b/>
                <w:bCs/>
                <w:sz w:val="23"/>
                <w:szCs w:val="23"/>
              </w:rPr>
              <w:t>Kaštų naudingumas</w:t>
            </w:r>
          </w:p>
        </w:tc>
      </w:tr>
      <w:tr w:rsidR="00B811A4" w:rsidRPr="002D4FD8" w14:paraId="6A2F62B2" w14:textId="77777777" w:rsidTr="00743956">
        <w:tc>
          <w:tcPr>
            <w:tcW w:w="4820" w:type="dxa"/>
          </w:tcPr>
          <w:p w14:paraId="7CB2C697" w14:textId="44A4E1DF" w:rsidR="00B811A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301657889"/>
                <w15:color w:val="FFCC00"/>
                <w14:checkbox>
                  <w14:checked w14:val="0"/>
                  <w14:checkedState w14:val="2612" w14:font="MS Gothic"/>
                  <w14:uncheckedState w14:val="2610" w14:font="MS Gothic"/>
                </w14:checkbox>
              </w:sdtPr>
              <w:sdtContent>
                <w:r w:rsidR="00B811A4" w:rsidRPr="002D4FD8">
                  <w:rPr>
                    <w:rStyle w:val="Style2"/>
                    <w:rFonts w:ascii="Segoe UI Symbol" w:eastAsia="MS Gothic" w:hAnsi="Segoe UI Symbol" w:cs="Segoe UI Symbol"/>
                    <w:sz w:val="23"/>
                    <w:szCs w:val="23"/>
                  </w:rPr>
                  <w:t>☐</w:t>
                </w:r>
              </w:sdtContent>
            </w:sdt>
            <w:r w:rsidR="00B811A4" w:rsidRPr="002D4FD8">
              <w:rPr>
                <w:sz w:val="23"/>
                <w:szCs w:val="23"/>
              </w:rPr>
              <w:t xml:space="preserve"> 29.2.1 atitinka referencinę naudingumo vertę taikant arba netaikant</w:t>
            </w:r>
            <w:r w:rsidR="00437623" w:rsidRPr="002D4FD8">
              <w:rPr>
                <w:b/>
                <w:bCs/>
                <w:sz w:val="23"/>
                <w:szCs w:val="23"/>
              </w:rPr>
              <w:t xml:space="preserve"> </w:t>
            </w:r>
            <w:r w:rsidR="00B811A4" w:rsidRPr="002D4FD8">
              <w:rPr>
                <w:sz w:val="23"/>
                <w:szCs w:val="23"/>
              </w:rPr>
              <w:t>PGS</w:t>
            </w:r>
          </w:p>
          <w:p w14:paraId="71797774"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5BE88CDB" w14:textId="60C4FFA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c>
          <w:tcPr>
            <w:tcW w:w="4814" w:type="dxa"/>
          </w:tcPr>
          <w:p w14:paraId="0370A72C" w14:textId="180C700D" w:rsidR="00B811A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sdt>
              <w:sdtPr>
                <w:rPr>
                  <w:rStyle w:val="Style2"/>
                  <w:sz w:val="23"/>
                  <w:szCs w:val="23"/>
                </w:rPr>
                <w:id w:val="791860283"/>
                <w15:color w:val="FFCC00"/>
                <w14:checkbox>
                  <w14:checked w14:val="1"/>
                  <w14:checkedState w14:val="2612" w14:font="MS Gothic"/>
                  <w14:uncheckedState w14:val="2610" w14:font="MS Gothic"/>
                </w14:checkbox>
              </w:sdtPr>
              <w:sdtContent>
                <w:r w:rsidR="00E827C9" w:rsidRPr="002D4FD8">
                  <w:rPr>
                    <w:rStyle w:val="Style2"/>
                    <w:rFonts w:ascii="MS Gothic" w:eastAsia="MS Gothic" w:hAnsi="MS Gothic"/>
                    <w:sz w:val="23"/>
                    <w:szCs w:val="23"/>
                  </w:rPr>
                  <w:t>☒</w:t>
                </w:r>
              </w:sdtContent>
            </w:sdt>
            <w:r w:rsidR="00B811A4" w:rsidRPr="002D4FD8">
              <w:rPr>
                <w:sz w:val="23"/>
                <w:szCs w:val="23"/>
              </w:rPr>
              <w:t xml:space="preserve"> 29.2.3 neatitinka referencinės naudingumo vertės taikant arba netaikant PGS</w:t>
            </w:r>
          </w:p>
          <w:p w14:paraId="13C9EEE5"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289E6691"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3"/>
                <w:szCs w:val="23"/>
              </w:rPr>
            </w:pPr>
          </w:p>
          <w:p w14:paraId="5FD1976C" w14:textId="77777777" w:rsidR="00B811A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3"/>
                <w:szCs w:val="23"/>
              </w:rPr>
            </w:pPr>
            <w:sdt>
              <w:sdtPr>
                <w:rPr>
                  <w:rStyle w:val="Style2"/>
                  <w:sz w:val="23"/>
                  <w:szCs w:val="23"/>
                </w:rPr>
                <w:id w:val="-943849855"/>
                <w15:color w:val="FFCC00"/>
                <w14:checkbox>
                  <w14:checked w14:val="0"/>
                  <w14:checkedState w14:val="2612" w14:font="MS Gothic"/>
                  <w14:uncheckedState w14:val="2610" w14:font="MS Gothic"/>
                </w14:checkbox>
              </w:sdtPr>
              <w:sdtContent>
                <w:r w:rsidR="00B811A4" w:rsidRPr="002D4FD8">
                  <w:rPr>
                    <w:rStyle w:val="Style2"/>
                    <w:rFonts w:ascii="Segoe UI Symbol" w:eastAsia="MS Gothic" w:hAnsi="Segoe UI Symbol" w:cs="Segoe UI Symbol"/>
                    <w:sz w:val="23"/>
                    <w:szCs w:val="23"/>
                  </w:rPr>
                  <w:t>☐</w:t>
                </w:r>
              </w:sdtContent>
            </w:sdt>
            <w:r w:rsidR="00B811A4" w:rsidRPr="002D4FD8">
              <w:rPr>
                <w:sz w:val="23"/>
                <w:szCs w:val="23"/>
              </w:rPr>
              <w:t xml:space="preserve"> 29.2.5 pateikti duomenys apie kaštų naudingumą yra netinkami vertinti</w:t>
            </w:r>
          </w:p>
          <w:p w14:paraId="06AB06C5" w14:textId="77777777" w:rsidR="00B811A4" w:rsidRPr="002D4FD8" w:rsidRDefault="00B811A4"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rFonts w:eastAsia="MS Gothic"/>
                <w:sz w:val="23"/>
                <w:szCs w:val="23"/>
              </w:rPr>
            </w:pPr>
          </w:p>
        </w:tc>
      </w:tr>
      <w:tr w:rsidR="007111C4" w:rsidRPr="002D4FD8" w14:paraId="632C9193" w14:textId="77777777" w:rsidTr="00027464">
        <w:tc>
          <w:tcPr>
            <w:tcW w:w="9634" w:type="dxa"/>
            <w:gridSpan w:val="2"/>
          </w:tcPr>
          <w:p w14:paraId="15C289C9" w14:textId="47C5A3CE" w:rsidR="007111C4" w:rsidRPr="002D4FD8" w:rsidRDefault="00000000" w:rsidP="0074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yle2"/>
                <w:sz w:val="23"/>
                <w:szCs w:val="23"/>
              </w:rPr>
            </w:pPr>
            <w:sdt>
              <w:sdtPr>
                <w:rPr>
                  <w:rStyle w:val="Style2"/>
                  <w:sz w:val="23"/>
                  <w:szCs w:val="23"/>
                </w:rPr>
                <w:id w:val="1266579562"/>
                <w15:color w:val="FFCC00"/>
                <w14:checkbox>
                  <w14:checked w14:val="0"/>
                  <w14:checkedState w14:val="2612" w14:font="MS Gothic"/>
                  <w14:uncheckedState w14:val="2610" w14:font="MS Gothic"/>
                </w14:checkbox>
              </w:sdtPr>
              <w:sdtContent>
                <w:r w:rsidR="007111C4" w:rsidRPr="002D4FD8">
                  <w:rPr>
                    <w:rStyle w:val="Style2"/>
                    <w:rFonts w:ascii="Segoe UI Symbol" w:eastAsia="MS Gothic" w:hAnsi="Segoe UI Symbol" w:cs="Segoe UI Symbol"/>
                    <w:sz w:val="23"/>
                    <w:szCs w:val="23"/>
                  </w:rPr>
                  <w:t>☐</w:t>
                </w:r>
              </w:sdtContent>
            </w:sdt>
            <w:r w:rsidR="007111C4" w:rsidRPr="002D4FD8">
              <w:rPr>
                <w:sz w:val="23"/>
                <w:szCs w:val="23"/>
              </w:rPr>
              <w:t xml:space="preserve"> </w:t>
            </w:r>
            <w:r w:rsidR="007111C4" w:rsidRPr="002D4FD8">
              <w:rPr>
                <w:color w:val="000000"/>
                <w:sz w:val="23"/>
                <w:szCs w:val="23"/>
              </w:rPr>
              <w:t>Vykdant Aprašo &lt;17</w:t>
            </w:r>
            <w:r w:rsidR="007111C4" w:rsidRPr="002D4FD8">
              <w:rPr>
                <w:color w:val="000000"/>
                <w:sz w:val="23"/>
                <w:szCs w:val="23"/>
                <w:vertAlign w:val="superscript"/>
              </w:rPr>
              <w:t>3</w:t>
            </w:r>
            <w:r w:rsidR="007111C4" w:rsidRPr="002D4FD8">
              <w:rPr>
                <w:color w:val="000000"/>
                <w:sz w:val="23"/>
                <w:szCs w:val="23"/>
              </w:rPr>
              <w:t>.1&gt;&lt;17</w:t>
            </w:r>
            <w:r w:rsidR="007111C4" w:rsidRPr="002D4FD8">
              <w:rPr>
                <w:color w:val="000000"/>
                <w:sz w:val="23"/>
                <w:szCs w:val="23"/>
                <w:vertAlign w:val="superscript"/>
              </w:rPr>
              <w:t>3</w:t>
            </w:r>
            <w:r w:rsidR="007111C4" w:rsidRPr="002D4FD8">
              <w:rPr>
                <w:color w:val="000000"/>
                <w:sz w:val="23"/>
                <w:szCs w:val="23"/>
              </w:rPr>
              <w:t>.2&gt;&lt;17</w:t>
            </w:r>
            <w:r w:rsidR="007111C4" w:rsidRPr="002D4FD8">
              <w:rPr>
                <w:color w:val="000000"/>
                <w:sz w:val="23"/>
                <w:szCs w:val="23"/>
                <w:vertAlign w:val="superscript"/>
              </w:rPr>
              <w:t>3</w:t>
            </w:r>
            <w:r w:rsidR="007111C4" w:rsidRPr="002D4FD8">
              <w:rPr>
                <w:color w:val="000000"/>
                <w:sz w:val="23"/>
                <w:szCs w:val="23"/>
              </w:rPr>
              <w:t>.3&gt; punktą vaistinio (-ų) preparato (-ų) ekonominis vertinimas neatliekamas, išvados dėl kaštų naudingumo neteikiamos</w:t>
            </w:r>
          </w:p>
        </w:tc>
      </w:tr>
    </w:tbl>
    <w:p w14:paraId="08D5B3B6" w14:textId="292D1124" w:rsidR="0061611B" w:rsidRPr="002D4FD8" w:rsidRDefault="0061611B" w:rsidP="0061611B">
      <w:pPr>
        <w:rPr>
          <w:i/>
          <w:szCs w:val="22"/>
        </w:rPr>
      </w:pPr>
    </w:p>
    <w:p w14:paraId="1B85C083" w14:textId="77777777" w:rsidR="009E44AE" w:rsidRPr="002D4FD8" w:rsidRDefault="009E44AE" w:rsidP="00381024"/>
    <w:p w14:paraId="3B2D1F25" w14:textId="3A80E19F" w:rsidR="000001B0" w:rsidRPr="002D4FD8" w:rsidRDefault="000001B0" w:rsidP="00CC09D4">
      <w:pPr>
        <w:pStyle w:val="ListParagraph"/>
        <w:numPr>
          <w:ilvl w:val="0"/>
          <w:numId w:val="12"/>
        </w:numPr>
        <w:ind w:left="567" w:hanging="567"/>
      </w:pPr>
      <w:r w:rsidRPr="002D4FD8">
        <w:rPr>
          <w:b/>
        </w:rPr>
        <w:t>REKOME</w:t>
      </w:r>
      <w:r w:rsidR="00D83182" w:rsidRPr="002D4FD8">
        <w:rPr>
          <w:b/>
        </w:rPr>
        <w:t>N</w:t>
      </w:r>
      <w:r w:rsidRPr="002D4FD8">
        <w:rPr>
          <w:b/>
        </w:rPr>
        <w:t>DACIJA</w:t>
      </w:r>
    </w:p>
    <w:p w14:paraId="35E33D78" w14:textId="59232BB3" w:rsidR="00B811A4" w:rsidRPr="002D4FD8" w:rsidRDefault="00B811A4" w:rsidP="00B811A4">
      <w:pPr>
        <w:pStyle w:val="ListParagraph"/>
        <w:ind w:left="567"/>
        <w:rPr>
          <w:b/>
        </w:rPr>
      </w:pPr>
    </w:p>
    <w:p w14:paraId="3D60BB06" w14:textId="7AD412B1" w:rsidR="00B811A4" w:rsidRPr="002D4FD8" w:rsidRDefault="00B811A4" w:rsidP="00851FCD">
      <w:pPr>
        <w:spacing w:line="276" w:lineRule="auto"/>
        <w:jc w:val="both"/>
        <w:rPr>
          <w:color w:val="000000"/>
          <w:lang w:eastAsia="lt-LT"/>
        </w:rPr>
      </w:pPr>
      <w:r w:rsidRPr="002D4FD8">
        <w:t>Vadovaujantis 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punktu</w:t>
      </w:r>
      <w:r w:rsidR="00E827C9" w:rsidRPr="002D4FD8">
        <w:t xml:space="preserve"> Aprašo </w:t>
      </w:r>
      <w:r w:rsidR="00E827C9" w:rsidRPr="002D4FD8">
        <w:rPr>
          <w:color w:val="000000"/>
          <w:lang w:eastAsia="lt-LT"/>
        </w:rPr>
        <w:t>30</w:t>
      </w:r>
      <w:r w:rsidR="00E827C9" w:rsidRPr="002D4FD8">
        <w:rPr>
          <w:color w:val="000000"/>
          <w:vertAlign w:val="superscript"/>
          <w:lang w:eastAsia="lt-LT"/>
        </w:rPr>
        <w:t>1</w:t>
      </w:r>
      <w:r w:rsidR="00E827C9" w:rsidRPr="002D4FD8">
        <w:rPr>
          <w:color w:val="000000"/>
          <w:lang w:eastAsia="lt-LT"/>
        </w:rPr>
        <w:t>.2. papunkčiu rekomenduojama kompensuoti vaistinį preparatą pagal paraiškoje nurodytą indikaciją (arba jos dalį) su arba be skyrimo sąlygų, jei, pateikus naują ar atnaujintą PGS, kaštų naudingumas atitinka referencinę naudingumo vertę, kai vertinimo išvados atitinka Aprašo 29.1.1 ir 29.2.3 papunkčiuose numatytas sąlygas.</w:t>
      </w:r>
    </w:p>
    <w:p w14:paraId="5914E8B9" w14:textId="77777777" w:rsidR="00E827C9" w:rsidRPr="002D4FD8" w:rsidRDefault="00E827C9" w:rsidP="00E827C9">
      <w:pPr>
        <w:jc w:val="both"/>
        <w:rPr>
          <w:color w:val="000000"/>
          <w:lang w:eastAsia="lt-LT"/>
        </w:rPr>
      </w:pPr>
    </w:p>
    <w:p w14:paraId="42F3A222" w14:textId="77777777" w:rsidR="00B811A4" w:rsidRPr="002D4FD8" w:rsidRDefault="00B811A4" w:rsidP="00B811A4">
      <w:pPr>
        <w:tabs>
          <w:tab w:val="left" w:pos="426"/>
        </w:tabs>
        <w:jc w:val="both"/>
        <w:rPr>
          <w:b/>
          <w:lang w:eastAsia="lt-LT"/>
        </w:rPr>
      </w:pPr>
      <w:r w:rsidRPr="002D4FD8">
        <w:rPr>
          <w:b/>
          <w:lang w:eastAsia="lt-LT"/>
        </w:rPr>
        <w:lastRenderedPageBreak/>
        <w:t xml:space="preserve">4.3 Siūloma (-os) kompensuoti terapinės indikacijos ir skyrimo sąlygos </w:t>
      </w:r>
    </w:p>
    <w:p w14:paraId="652D4D69" w14:textId="77777777" w:rsidR="00AB6573" w:rsidRPr="002D4FD8" w:rsidRDefault="00AB6573" w:rsidP="00AB6573">
      <w:pPr>
        <w:pStyle w:val="NoSpacing"/>
        <w:jc w:val="both"/>
        <w:rPr>
          <w:rFonts w:ascii="Times New Roman" w:hAnsi="Times New Roman"/>
          <w:b/>
          <w:sz w:val="24"/>
          <w:szCs w:val="24"/>
          <w:lang w:eastAsia="lt-LT"/>
        </w:rPr>
      </w:pPr>
    </w:p>
    <w:p w14:paraId="2B973AEE" w14:textId="38FD36D5" w:rsidR="00AB6573" w:rsidRPr="002D4FD8" w:rsidRDefault="00AB6573" w:rsidP="00AB6573">
      <w:pPr>
        <w:pStyle w:val="NoSpacing"/>
        <w:jc w:val="both"/>
        <w:rPr>
          <w:rFonts w:ascii="Times New Roman" w:hAnsi="Times New Roman"/>
          <w:b/>
          <w:sz w:val="24"/>
          <w:szCs w:val="24"/>
          <w:lang w:eastAsia="lt-LT"/>
        </w:rPr>
      </w:pPr>
      <w:r w:rsidRPr="002D4FD8">
        <w:rPr>
          <w:rFonts w:ascii="Times New Roman" w:hAnsi="Times New Roman"/>
          <w:b/>
          <w:sz w:val="24"/>
          <w:szCs w:val="24"/>
          <w:lang w:eastAsia="lt-LT"/>
        </w:rPr>
        <w:t>Terapinės indikacijos</w:t>
      </w:r>
    </w:p>
    <w:p w14:paraId="63BC7C73" w14:textId="77777777" w:rsidR="00AB6573" w:rsidRPr="002D4FD8" w:rsidRDefault="00AB6573" w:rsidP="00AB6573">
      <w:pPr>
        <w:pStyle w:val="NoSpacing"/>
        <w:jc w:val="both"/>
        <w:rPr>
          <w:rFonts w:ascii="Times New Roman" w:hAnsi="Times New Roman"/>
          <w:bCs/>
          <w:i/>
          <w:iCs/>
          <w:color w:val="00B050"/>
          <w:sz w:val="24"/>
          <w:szCs w:val="24"/>
          <w:lang w:eastAsia="lt-LT"/>
        </w:rPr>
      </w:pPr>
    </w:p>
    <w:p w14:paraId="50FF2643" w14:textId="77777777" w:rsidR="00AB6573" w:rsidRPr="002D4FD8" w:rsidRDefault="00AB6573" w:rsidP="00AB6573">
      <w:pPr>
        <w:jc w:val="both"/>
      </w:pPr>
      <w:r w:rsidRPr="002D4FD8">
        <w:t>LIBTAYO skirtas adjuvantiniam OPLK sergančių suaugusių pacientų monoterapijai, kuriems yra didelė ligos atsinaujinimo po operacijos ir spindulinio gydymo rizika.</w:t>
      </w:r>
    </w:p>
    <w:p w14:paraId="676BB40D" w14:textId="77777777" w:rsidR="00AB6573" w:rsidRPr="002D4FD8" w:rsidRDefault="00AB6573" w:rsidP="00AB6573">
      <w:pPr>
        <w:jc w:val="both"/>
      </w:pPr>
    </w:p>
    <w:p w14:paraId="29E73D27" w14:textId="77777777" w:rsidR="00AB6573" w:rsidRPr="002D4FD8" w:rsidRDefault="00AB6573" w:rsidP="00AB6573">
      <w:pPr>
        <w:jc w:val="both"/>
      </w:pPr>
      <w:r w:rsidRPr="002D4FD8">
        <w:t>TLK-10 AM kodas: C44.</w:t>
      </w:r>
    </w:p>
    <w:p w14:paraId="2721C042" w14:textId="77777777" w:rsidR="00AB6573" w:rsidRPr="002D4FD8" w:rsidRDefault="00AB6573" w:rsidP="00AB6573">
      <w:pPr>
        <w:pStyle w:val="NoSpacing"/>
        <w:jc w:val="both"/>
        <w:rPr>
          <w:rFonts w:ascii="Times New Roman" w:hAnsi="Times New Roman"/>
          <w:sz w:val="24"/>
          <w:szCs w:val="24"/>
        </w:rPr>
      </w:pPr>
    </w:p>
    <w:p w14:paraId="54D97B91" w14:textId="77777777" w:rsidR="00AB6573" w:rsidRPr="002D4FD8" w:rsidRDefault="00AB6573" w:rsidP="00AB6573">
      <w:pPr>
        <w:pStyle w:val="NoSpacing"/>
        <w:jc w:val="both"/>
        <w:rPr>
          <w:rFonts w:ascii="Times New Roman" w:hAnsi="Times New Roman"/>
          <w:b/>
          <w:sz w:val="24"/>
          <w:szCs w:val="24"/>
        </w:rPr>
      </w:pPr>
      <w:r w:rsidRPr="002D4FD8">
        <w:rPr>
          <w:rFonts w:ascii="Times New Roman" w:hAnsi="Times New Roman"/>
          <w:b/>
          <w:sz w:val="24"/>
          <w:szCs w:val="24"/>
        </w:rPr>
        <w:t>Skyrimo sąlygos</w:t>
      </w:r>
    </w:p>
    <w:p w14:paraId="3666507A" w14:textId="77777777" w:rsidR="00AB6573" w:rsidRPr="002D4FD8" w:rsidRDefault="00AB6573" w:rsidP="00AB6573">
      <w:pPr>
        <w:pStyle w:val="NoSpacing"/>
        <w:jc w:val="both"/>
        <w:rPr>
          <w:rFonts w:ascii="Times New Roman" w:hAnsi="Times New Roman"/>
          <w:bCs/>
          <w:i/>
          <w:iCs/>
          <w:sz w:val="24"/>
          <w:szCs w:val="24"/>
          <w:lang w:eastAsia="lt-LT"/>
        </w:rPr>
      </w:pPr>
    </w:p>
    <w:p w14:paraId="0E2A3A41" w14:textId="273BCFEC" w:rsidR="00AB6573" w:rsidRPr="002D4FD8" w:rsidRDefault="00AB6573" w:rsidP="00AB6573">
      <w:pPr>
        <w:jc w:val="both"/>
      </w:pPr>
      <w:r w:rsidRPr="002D4FD8">
        <w:t xml:space="preserve">Skiriamas </w:t>
      </w:r>
      <w:r w:rsidR="004E774E" w:rsidRPr="002D4FD8">
        <w:t>adjuvantiniam odos plokščiųjų ląstelių karcinoma sergančių suaugusių pacientų monoterapijai, kuriems yra didelė ligos atsinaujinimo po operacijos ir spindulinio gydymo rizika</w:t>
      </w:r>
      <w:r w:rsidRPr="002D4FD8">
        <w:t xml:space="preserve">, </w:t>
      </w:r>
      <w:r w:rsidR="004E774E" w:rsidRPr="002D4FD8">
        <w:t>jei</w:t>
      </w:r>
      <w:r w:rsidRPr="002D4FD8">
        <w:t xml:space="preserve">: </w:t>
      </w:r>
    </w:p>
    <w:p w14:paraId="0509929A" w14:textId="36DC62DF" w:rsidR="00AB6573" w:rsidRPr="002D4FD8" w:rsidRDefault="00AB6573" w:rsidP="00D66EE9">
      <w:pPr>
        <w:pStyle w:val="ListParagraph"/>
        <w:numPr>
          <w:ilvl w:val="0"/>
          <w:numId w:val="17"/>
        </w:numPr>
        <w:jc w:val="both"/>
      </w:pPr>
      <w:r w:rsidRPr="002D4FD8">
        <w:t>tretinio lygio gydymo įstaigos onkologijos daugiadalykio gydytojų konsiliumo nustatyta, kad yra didelė odos plokščiųjų ląstelių karcinomos atsinaujinimo rizika po chirurginio ir spindulinio gydymo;</w:t>
      </w:r>
    </w:p>
    <w:p w14:paraId="5B49E041" w14:textId="09126CAB" w:rsidR="00AB6573" w:rsidRPr="002D4FD8" w:rsidRDefault="00AB6573" w:rsidP="00D66EE9">
      <w:pPr>
        <w:pStyle w:val="ListParagraph"/>
        <w:numPr>
          <w:ilvl w:val="0"/>
          <w:numId w:val="17"/>
        </w:numPr>
        <w:jc w:val="both"/>
      </w:pPr>
      <w:r w:rsidRPr="002D4FD8">
        <w:t>gera paciento funkcinė būklė (ECOG 0 ar 1 balas);</w:t>
      </w:r>
    </w:p>
    <w:p w14:paraId="3C2D144D" w14:textId="27DE0B87" w:rsidR="00AB6573" w:rsidRPr="002D4FD8" w:rsidRDefault="004E774E" w:rsidP="00AB6573">
      <w:pPr>
        <w:jc w:val="both"/>
      </w:pPr>
      <w:r w:rsidRPr="002D4FD8">
        <w:t>G</w:t>
      </w:r>
      <w:r w:rsidR="00AB6573" w:rsidRPr="002D4FD8">
        <w:t>ydymas tęsiamas iki nepriimtino toksinio poveikio atsiradimo, ligos progresavimo arba planuoto gydymo užbaigimo, bet ne ilgiau kaip 48 savaites.</w:t>
      </w:r>
    </w:p>
    <w:p w14:paraId="0C8CDE63" w14:textId="77777777" w:rsidR="004E774E" w:rsidRPr="002D4FD8" w:rsidRDefault="004E774E" w:rsidP="004E774E"/>
    <w:p w14:paraId="24605518" w14:textId="77777777" w:rsidR="004E774E" w:rsidRPr="002D4FD8" w:rsidRDefault="004E774E" w:rsidP="004E774E"/>
    <w:p w14:paraId="4ABA1328" w14:textId="2BF5AEF0" w:rsidR="004E774E" w:rsidRPr="002D4FD8" w:rsidRDefault="004E774E" w:rsidP="004E774E">
      <w:pPr>
        <w:rPr>
          <w:b/>
          <w:bCs/>
        </w:rPr>
      </w:pPr>
      <w:r w:rsidRPr="002D4FD8">
        <w:rPr>
          <w:b/>
          <w:bCs/>
        </w:rPr>
        <w:t>Pastabos</w:t>
      </w:r>
    </w:p>
    <w:p w14:paraId="3D7B6D23" w14:textId="51C4D831" w:rsidR="004E774E" w:rsidRPr="002D4FD8" w:rsidRDefault="004E774E" w:rsidP="004E774E">
      <w:r w:rsidRPr="002D4FD8">
        <w:t xml:space="preserve">Jei būtų priimtas sprendimas įrašyti šį vaistinį preparatą į kompensavimo sąrašus, būtina patikslinti kompensavimo sąrašus kitai terapinei indikacijai (TLK kodas C44) įrašyto vaistinio preparato </w:t>
      </w:r>
      <w:r w:rsidR="00363F42" w:rsidRPr="002D4FD8">
        <w:rPr>
          <w:rFonts w:eastAsia="Arial"/>
          <w:bCs/>
        </w:rPr>
        <w:t>cemiplimabo</w:t>
      </w:r>
      <w:r w:rsidR="00363F42" w:rsidRPr="002D4FD8">
        <w:t xml:space="preserve"> </w:t>
      </w:r>
      <w:r w:rsidRPr="002D4FD8">
        <w:t>skyrimo sąlygas.</w:t>
      </w:r>
      <w:r w:rsidR="00363F42" w:rsidRPr="002D4FD8">
        <w:t xml:space="preserve"> </w:t>
      </w:r>
    </w:p>
    <w:p w14:paraId="200EA705" w14:textId="43963E64" w:rsidR="00363F42" w:rsidRPr="002D4FD8" w:rsidRDefault="00363F42" w:rsidP="004E774E">
      <w:pPr>
        <w:rPr>
          <w:b/>
          <w:bCs/>
          <w:u w:val="single"/>
        </w:rPr>
      </w:pPr>
      <w:r w:rsidRPr="002D4FD8">
        <w:t xml:space="preserve">Siūlomas skyrimo sąlygų patikslinimas žemiau. Naujai siūlomas įrašyti tekstas </w:t>
      </w:r>
      <w:r w:rsidRPr="002D4FD8">
        <w:rPr>
          <w:b/>
          <w:bCs/>
          <w:u w:val="single"/>
        </w:rPr>
        <w:t>paryškintas ir pabrauktas.</w:t>
      </w:r>
    </w:p>
    <w:p w14:paraId="5A0DE19D" w14:textId="77777777" w:rsidR="004E774E" w:rsidRPr="002D4FD8" w:rsidRDefault="004E774E" w:rsidP="004E774E"/>
    <w:p w14:paraId="51B34091" w14:textId="025B2FB4" w:rsidR="004E774E" w:rsidRPr="002D4FD8" w:rsidRDefault="004E774E" w:rsidP="004E774E">
      <w:pPr>
        <w:jc w:val="both"/>
        <w:rPr>
          <w:rFonts w:eastAsiaTheme="minorHAnsi"/>
        </w:rPr>
      </w:pPr>
      <w:r w:rsidRPr="002D4FD8">
        <w:rPr>
          <w:rFonts w:eastAsiaTheme="minorHAnsi"/>
        </w:rPr>
        <w:t xml:space="preserve">Skiriamas </w:t>
      </w:r>
      <w:r w:rsidR="003824B8" w:rsidRPr="002D4FD8">
        <w:rPr>
          <w:rFonts w:eastAsiaTheme="minorHAnsi"/>
          <w:b/>
          <w:bCs/>
          <w:u w:val="single"/>
        </w:rPr>
        <w:t xml:space="preserve">metastazinės ar lokaliai išplitusios odos plokščiųjų ląstelių karcinomos (mOPLK arba liOPLK) monoterapijai suaugusiems pacientams, kuriems negalimas chirurginis ar spindulinis gydymas </w:t>
      </w:r>
      <w:r w:rsidRPr="002D4FD8">
        <w:rPr>
          <w:rFonts w:eastAsiaTheme="minorHAnsi"/>
          <w:strike/>
        </w:rPr>
        <w:t>18 metų ir vyresniems pacientams, atitinkantiems šiuos kriterijus</w:t>
      </w:r>
      <w:r w:rsidR="003824B8" w:rsidRPr="002D4FD8">
        <w:rPr>
          <w:rFonts w:eastAsiaTheme="minorHAnsi"/>
          <w:strike/>
        </w:rPr>
        <w:t xml:space="preserve"> </w:t>
      </w:r>
      <w:r w:rsidR="003824B8" w:rsidRPr="002D4FD8">
        <w:rPr>
          <w:rFonts w:eastAsiaTheme="minorHAnsi"/>
          <w:b/>
          <w:bCs/>
          <w:u w:val="single"/>
        </w:rPr>
        <w:t>jei</w:t>
      </w:r>
      <w:r w:rsidRPr="002D4FD8">
        <w:rPr>
          <w:rFonts w:eastAsiaTheme="minorHAnsi"/>
        </w:rPr>
        <w:t xml:space="preserve">: </w:t>
      </w:r>
    </w:p>
    <w:p w14:paraId="64C0D676" w14:textId="4D0D9640" w:rsidR="004E774E" w:rsidRPr="002D4FD8" w:rsidRDefault="004E774E" w:rsidP="00D66EE9">
      <w:pPr>
        <w:pStyle w:val="ListParagraph"/>
        <w:numPr>
          <w:ilvl w:val="0"/>
          <w:numId w:val="18"/>
        </w:numPr>
        <w:jc w:val="both"/>
        <w:rPr>
          <w:rFonts w:eastAsiaTheme="minorHAnsi"/>
        </w:rPr>
      </w:pPr>
      <w:r w:rsidRPr="002D4FD8">
        <w:rPr>
          <w:rFonts w:eastAsiaTheme="minorHAnsi"/>
        </w:rPr>
        <w:t>tretinio lygio gydymo įstaigos onkologijos daugiadalykio gydytojų konsiliumo nustatyta, kad chirurginis arba spindulinis metastazinės ar lokaliai išplitusios odos plokščiųjų ląstelių karcinomos gydymas yra negalimas;</w:t>
      </w:r>
    </w:p>
    <w:p w14:paraId="54F05A43" w14:textId="77B6B220" w:rsidR="004E774E" w:rsidRPr="002D4FD8" w:rsidRDefault="004E774E" w:rsidP="00D66EE9">
      <w:pPr>
        <w:pStyle w:val="ListParagraph"/>
        <w:numPr>
          <w:ilvl w:val="0"/>
          <w:numId w:val="18"/>
        </w:numPr>
        <w:jc w:val="both"/>
        <w:rPr>
          <w:rFonts w:eastAsiaTheme="minorHAnsi"/>
        </w:rPr>
      </w:pPr>
      <w:r w:rsidRPr="002D4FD8">
        <w:rPr>
          <w:rFonts w:eastAsiaTheme="minorHAnsi"/>
        </w:rPr>
        <w:t>gera paciento funkcinė būklė (ECOG 0 ar 1 balas)</w:t>
      </w:r>
      <w:r w:rsidR="00D66EE9" w:rsidRPr="002D4FD8">
        <w:rPr>
          <w:rFonts w:eastAsiaTheme="minorHAnsi"/>
        </w:rPr>
        <w:t>.</w:t>
      </w:r>
    </w:p>
    <w:p w14:paraId="5018F6F0" w14:textId="6B7BDC76" w:rsidR="004E774E" w:rsidRPr="002D4FD8" w:rsidRDefault="003824B8" w:rsidP="00D66EE9">
      <w:r w:rsidRPr="002D4FD8">
        <w:rPr>
          <w:rFonts w:eastAsiaTheme="minorHAnsi"/>
        </w:rPr>
        <w:t>G</w:t>
      </w:r>
      <w:r w:rsidR="004E774E" w:rsidRPr="002D4FD8">
        <w:rPr>
          <w:rFonts w:eastAsiaTheme="minorHAnsi"/>
        </w:rPr>
        <w:t>ydymas tęsiamas iki nepriimtino toksinio poveikio atsiradimo, ligos progresavimo arba planuoto gydymo užbaigimo, bet ne ilgiau kaip 96 savaites.</w:t>
      </w:r>
    </w:p>
    <w:p w14:paraId="33B8DE04" w14:textId="77777777" w:rsidR="00283E59" w:rsidRPr="002D4FD8" w:rsidRDefault="00283E59" w:rsidP="00283E59">
      <w:pPr>
        <w:widowControl w:val="0"/>
        <w:tabs>
          <w:tab w:val="left" w:pos="1418"/>
        </w:tabs>
        <w:suppressAutoHyphens/>
        <w:spacing w:line="360" w:lineRule="atLeast"/>
        <w:jc w:val="center"/>
        <w:textAlignment w:val="center"/>
      </w:pPr>
      <w:r w:rsidRPr="002D4FD8">
        <w:rPr>
          <w:color w:val="000000"/>
          <w:lang w:eastAsia="lt-LT"/>
        </w:rPr>
        <w:t>____________________________</w:t>
      </w:r>
    </w:p>
    <w:p w14:paraId="562A1372" w14:textId="77777777" w:rsidR="00283E59" w:rsidRPr="002D4FD8" w:rsidRDefault="00283E59" w:rsidP="00283E59">
      <w:pPr>
        <w:jc w:val="both"/>
        <w:rPr>
          <w:b/>
          <w:sz w:val="20"/>
        </w:rPr>
      </w:pPr>
    </w:p>
    <w:p w14:paraId="7CDFF220" w14:textId="58191D98" w:rsidR="000723FF" w:rsidRPr="002D4FD8" w:rsidRDefault="000723FF" w:rsidP="00824B92">
      <w:pPr>
        <w:rPr>
          <w:b/>
        </w:rPr>
      </w:pPr>
    </w:p>
    <w:sectPr w:rsidR="000723FF" w:rsidRPr="002D4FD8" w:rsidSect="00063A50">
      <w:headerReference w:type="first" r:id="rId8"/>
      <w:footerReference w:type="first" r:id="rId9"/>
      <w:pgSz w:w="11907" w:h="16840" w:code="9"/>
      <w:pgMar w:top="1134" w:right="567" w:bottom="1134" w:left="1701" w:header="646"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56F9" w14:textId="77777777" w:rsidR="00364E79" w:rsidRDefault="00364E79">
      <w:r>
        <w:separator/>
      </w:r>
    </w:p>
  </w:endnote>
  <w:endnote w:type="continuationSeparator" w:id="0">
    <w:p w14:paraId="3F0F692A" w14:textId="77777777" w:rsidR="00364E79" w:rsidRDefault="0036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3368" w14:textId="77777777" w:rsidR="00347FAA" w:rsidRDefault="00347FAA">
    <w:pPr>
      <w:pStyle w:val="Footer"/>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369C2" w14:textId="77777777" w:rsidR="00364E79" w:rsidRDefault="00364E79">
      <w:r>
        <w:separator/>
      </w:r>
    </w:p>
  </w:footnote>
  <w:footnote w:type="continuationSeparator" w:id="0">
    <w:p w14:paraId="6F79F899" w14:textId="77777777" w:rsidR="00364E79" w:rsidRDefault="0036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1C8F" w14:textId="77777777" w:rsidR="00347FAA" w:rsidRDefault="00347FAA" w:rsidP="00FD793C">
    <w:pPr>
      <w:pStyle w:val="Header"/>
      <w:ind w:left="612"/>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D8E"/>
    <w:multiLevelType w:val="hybridMultilevel"/>
    <w:tmpl w:val="10FAC1C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1276250"/>
    <w:multiLevelType w:val="hybridMultilevel"/>
    <w:tmpl w:val="3B6C29F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0081E"/>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28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AD2E58"/>
    <w:multiLevelType w:val="hybridMultilevel"/>
    <w:tmpl w:val="F6943F7A"/>
    <w:lvl w:ilvl="0" w:tplc="AB64BC8E">
      <w:start w:val="1"/>
      <w:numFmt w:val="decimal"/>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101C59"/>
    <w:multiLevelType w:val="hybridMultilevel"/>
    <w:tmpl w:val="64544F3A"/>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5" w15:restartNumberingAfterBreak="0">
    <w:nsid w:val="1A816B09"/>
    <w:multiLevelType w:val="hybridMultilevel"/>
    <w:tmpl w:val="8FBEE17A"/>
    <w:lvl w:ilvl="0" w:tplc="0427000F">
      <w:start w:val="16"/>
      <w:numFmt w:val="decimal"/>
      <w:lvlText w:val="%1."/>
      <w:lvlJc w:val="left"/>
      <w:pPr>
        <w:ind w:left="501" w:hanging="360"/>
      </w:pPr>
      <w:rPr>
        <w:rFonts w:hint="default"/>
      </w:rPr>
    </w:lvl>
    <w:lvl w:ilvl="1" w:tplc="04270019" w:tentative="1">
      <w:start w:val="1"/>
      <w:numFmt w:val="lowerLetter"/>
      <w:lvlText w:val="%2."/>
      <w:lvlJc w:val="left"/>
      <w:pPr>
        <w:ind w:left="1581" w:hanging="360"/>
      </w:pPr>
    </w:lvl>
    <w:lvl w:ilvl="2" w:tplc="0427001B" w:tentative="1">
      <w:start w:val="1"/>
      <w:numFmt w:val="lowerRoman"/>
      <w:lvlText w:val="%3."/>
      <w:lvlJc w:val="right"/>
      <w:pPr>
        <w:ind w:left="2301" w:hanging="180"/>
      </w:pPr>
    </w:lvl>
    <w:lvl w:ilvl="3" w:tplc="0427000F" w:tentative="1">
      <w:start w:val="1"/>
      <w:numFmt w:val="decimal"/>
      <w:lvlText w:val="%4."/>
      <w:lvlJc w:val="left"/>
      <w:pPr>
        <w:ind w:left="3021" w:hanging="360"/>
      </w:pPr>
    </w:lvl>
    <w:lvl w:ilvl="4" w:tplc="04270019" w:tentative="1">
      <w:start w:val="1"/>
      <w:numFmt w:val="lowerLetter"/>
      <w:lvlText w:val="%5."/>
      <w:lvlJc w:val="left"/>
      <w:pPr>
        <w:ind w:left="3741" w:hanging="360"/>
      </w:pPr>
    </w:lvl>
    <w:lvl w:ilvl="5" w:tplc="0427001B" w:tentative="1">
      <w:start w:val="1"/>
      <w:numFmt w:val="lowerRoman"/>
      <w:lvlText w:val="%6."/>
      <w:lvlJc w:val="right"/>
      <w:pPr>
        <w:ind w:left="4461" w:hanging="180"/>
      </w:pPr>
    </w:lvl>
    <w:lvl w:ilvl="6" w:tplc="0427000F" w:tentative="1">
      <w:start w:val="1"/>
      <w:numFmt w:val="decimal"/>
      <w:lvlText w:val="%7."/>
      <w:lvlJc w:val="left"/>
      <w:pPr>
        <w:ind w:left="5181" w:hanging="360"/>
      </w:pPr>
    </w:lvl>
    <w:lvl w:ilvl="7" w:tplc="04270019" w:tentative="1">
      <w:start w:val="1"/>
      <w:numFmt w:val="lowerLetter"/>
      <w:lvlText w:val="%8."/>
      <w:lvlJc w:val="left"/>
      <w:pPr>
        <w:ind w:left="5901" w:hanging="360"/>
      </w:pPr>
    </w:lvl>
    <w:lvl w:ilvl="8" w:tplc="0427001B" w:tentative="1">
      <w:start w:val="1"/>
      <w:numFmt w:val="lowerRoman"/>
      <w:lvlText w:val="%9."/>
      <w:lvlJc w:val="right"/>
      <w:pPr>
        <w:ind w:left="6621" w:hanging="180"/>
      </w:pPr>
    </w:lvl>
  </w:abstractNum>
  <w:abstractNum w:abstractNumId="6" w15:restartNumberingAfterBreak="0">
    <w:nsid w:val="3975004F"/>
    <w:multiLevelType w:val="hybridMultilevel"/>
    <w:tmpl w:val="13E4607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3BCC4222"/>
    <w:multiLevelType w:val="multilevel"/>
    <w:tmpl w:val="C9C6278E"/>
    <w:lvl w:ilvl="0">
      <w:start w:val="2"/>
      <w:numFmt w:val="decimal"/>
      <w:lvlText w:val="%1."/>
      <w:lvlJc w:val="left"/>
      <w:pPr>
        <w:ind w:left="360" w:hanging="360"/>
      </w:pPr>
      <w:rPr>
        <w:rFonts w:eastAsia="Arial Unicode MS" w:hint="default"/>
      </w:rPr>
    </w:lvl>
    <w:lvl w:ilvl="1">
      <w:start w:val="7"/>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8" w15:restartNumberingAfterBreak="0">
    <w:nsid w:val="41953EAB"/>
    <w:multiLevelType w:val="hybridMultilevel"/>
    <w:tmpl w:val="D0F01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9B019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B83C1B"/>
    <w:multiLevelType w:val="multilevel"/>
    <w:tmpl w:val="5F3843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1" w15:restartNumberingAfterBreak="0">
    <w:nsid w:val="5A0D73F3"/>
    <w:multiLevelType w:val="hybridMultilevel"/>
    <w:tmpl w:val="CA9A2AC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30E5544"/>
    <w:multiLevelType w:val="hybridMultilevel"/>
    <w:tmpl w:val="B20037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AB27E1E"/>
    <w:multiLevelType w:val="hybridMultilevel"/>
    <w:tmpl w:val="3D568A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CA2497C"/>
    <w:multiLevelType w:val="hybridMultilevel"/>
    <w:tmpl w:val="7250F6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D5F1E84"/>
    <w:multiLevelType w:val="hybridMultilevel"/>
    <w:tmpl w:val="7004D9F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6" w15:restartNumberingAfterBreak="0">
    <w:nsid w:val="72266018"/>
    <w:multiLevelType w:val="hybridMultilevel"/>
    <w:tmpl w:val="AA9C9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4192B8C"/>
    <w:multiLevelType w:val="hybridMultilevel"/>
    <w:tmpl w:val="C9C656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0763969">
    <w:abstractNumId w:val="8"/>
  </w:num>
  <w:num w:numId="2" w16cid:durableId="844636936">
    <w:abstractNumId w:val="2"/>
  </w:num>
  <w:num w:numId="3" w16cid:durableId="83651721">
    <w:abstractNumId w:val="10"/>
  </w:num>
  <w:num w:numId="4" w16cid:durableId="920262949">
    <w:abstractNumId w:val="9"/>
  </w:num>
  <w:num w:numId="5" w16cid:durableId="1477524625">
    <w:abstractNumId w:val="7"/>
  </w:num>
  <w:num w:numId="6" w16cid:durableId="540017923">
    <w:abstractNumId w:val="6"/>
  </w:num>
  <w:num w:numId="7" w16cid:durableId="1236479362">
    <w:abstractNumId w:val="4"/>
  </w:num>
  <w:num w:numId="8" w16cid:durableId="824786170">
    <w:abstractNumId w:val="16"/>
  </w:num>
  <w:num w:numId="9" w16cid:durableId="1994337129">
    <w:abstractNumId w:val="0"/>
  </w:num>
  <w:num w:numId="10" w16cid:durableId="1504778719">
    <w:abstractNumId w:val="11"/>
  </w:num>
  <w:num w:numId="11" w16cid:durableId="130634881">
    <w:abstractNumId w:val="13"/>
  </w:num>
  <w:num w:numId="12" w16cid:durableId="2075465105">
    <w:abstractNumId w:val="3"/>
  </w:num>
  <w:num w:numId="13" w16cid:durableId="1779064140">
    <w:abstractNumId w:val="5"/>
  </w:num>
  <w:num w:numId="14" w16cid:durableId="2088065061">
    <w:abstractNumId w:val="1"/>
  </w:num>
  <w:num w:numId="15" w16cid:durableId="1421489091">
    <w:abstractNumId w:val="17"/>
  </w:num>
  <w:num w:numId="16" w16cid:durableId="1512991359">
    <w:abstractNumId w:val="12"/>
  </w:num>
  <w:num w:numId="17" w16cid:durableId="1203444066">
    <w:abstractNumId w:val="14"/>
  </w:num>
  <w:num w:numId="18" w16cid:durableId="8037412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E7"/>
    <w:rsid w:val="000001B0"/>
    <w:rsid w:val="00003F5B"/>
    <w:rsid w:val="000114DD"/>
    <w:rsid w:val="000136F7"/>
    <w:rsid w:val="000203E1"/>
    <w:rsid w:val="0002686C"/>
    <w:rsid w:val="00031D0E"/>
    <w:rsid w:val="000337E6"/>
    <w:rsid w:val="0003402E"/>
    <w:rsid w:val="00034EAE"/>
    <w:rsid w:val="00042924"/>
    <w:rsid w:val="000448C6"/>
    <w:rsid w:val="00052BD8"/>
    <w:rsid w:val="00053975"/>
    <w:rsid w:val="00057A2B"/>
    <w:rsid w:val="000606BE"/>
    <w:rsid w:val="000624FF"/>
    <w:rsid w:val="00063A50"/>
    <w:rsid w:val="00067553"/>
    <w:rsid w:val="000723FF"/>
    <w:rsid w:val="000736B8"/>
    <w:rsid w:val="000802B4"/>
    <w:rsid w:val="0008190F"/>
    <w:rsid w:val="00081D9C"/>
    <w:rsid w:val="00082907"/>
    <w:rsid w:val="0008378D"/>
    <w:rsid w:val="000908A5"/>
    <w:rsid w:val="00092805"/>
    <w:rsid w:val="000A50C9"/>
    <w:rsid w:val="000B1540"/>
    <w:rsid w:val="000B2B2C"/>
    <w:rsid w:val="000B4A58"/>
    <w:rsid w:val="000C454C"/>
    <w:rsid w:val="000D5038"/>
    <w:rsid w:val="000E1DDC"/>
    <w:rsid w:val="000E29D4"/>
    <w:rsid w:val="000F3540"/>
    <w:rsid w:val="00100491"/>
    <w:rsid w:val="00104E2E"/>
    <w:rsid w:val="00107287"/>
    <w:rsid w:val="00117194"/>
    <w:rsid w:val="00117406"/>
    <w:rsid w:val="00121EF0"/>
    <w:rsid w:val="00124A9E"/>
    <w:rsid w:val="00130703"/>
    <w:rsid w:val="0013153F"/>
    <w:rsid w:val="001408B8"/>
    <w:rsid w:val="001466FE"/>
    <w:rsid w:val="001517E2"/>
    <w:rsid w:val="001521D9"/>
    <w:rsid w:val="001554E2"/>
    <w:rsid w:val="00164146"/>
    <w:rsid w:val="00164D64"/>
    <w:rsid w:val="00166FBB"/>
    <w:rsid w:val="0017369C"/>
    <w:rsid w:val="00175D57"/>
    <w:rsid w:val="00180C39"/>
    <w:rsid w:val="00180D96"/>
    <w:rsid w:val="00184BD3"/>
    <w:rsid w:val="001921F3"/>
    <w:rsid w:val="001A0CAA"/>
    <w:rsid w:val="001B1D72"/>
    <w:rsid w:val="001B3C5B"/>
    <w:rsid w:val="001C2FC8"/>
    <w:rsid w:val="001C6353"/>
    <w:rsid w:val="001D5B91"/>
    <w:rsid w:val="001D746F"/>
    <w:rsid w:val="001E0B2D"/>
    <w:rsid w:val="001E4BBB"/>
    <w:rsid w:val="001E6304"/>
    <w:rsid w:val="001F115E"/>
    <w:rsid w:val="0020381E"/>
    <w:rsid w:val="0021231B"/>
    <w:rsid w:val="00213471"/>
    <w:rsid w:val="00215906"/>
    <w:rsid w:val="00241CD8"/>
    <w:rsid w:val="00244B09"/>
    <w:rsid w:val="002519CB"/>
    <w:rsid w:val="0025697F"/>
    <w:rsid w:val="00260258"/>
    <w:rsid w:val="0026588E"/>
    <w:rsid w:val="00267947"/>
    <w:rsid w:val="00272428"/>
    <w:rsid w:val="00272948"/>
    <w:rsid w:val="0028173C"/>
    <w:rsid w:val="00283E59"/>
    <w:rsid w:val="00292392"/>
    <w:rsid w:val="002946C7"/>
    <w:rsid w:val="002B3CC1"/>
    <w:rsid w:val="002C0686"/>
    <w:rsid w:val="002C09E0"/>
    <w:rsid w:val="002C100E"/>
    <w:rsid w:val="002C1BB1"/>
    <w:rsid w:val="002C2008"/>
    <w:rsid w:val="002C2786"/>
    <w:rsid w:val="002C3A10"/>
    <w:rsid w:val="002C4A90"/>
    <w:rsid w:val="002C4ED5"/>
    <w:rsid w:val="002D02EF"/>
    <w:rsid w:val="002D10CD"/>
    <w:rsid w:val="002D4FD8"/>
    <w:rsid w:val="002E0702"/>
    <w:rsid w:val="002E1A83"/>
    <w:rsid w:val="002E57AD"/>
    <w:rsid w:val="002E6F80"/>
    <w:rsid w:val="002F0E4F"/>
    <w:rsid w:val="002F1053"/>
    <w:rsid w:val="00314816"/>
    <w:rsid w:val="00317B0E"/>
    <w:rsid w:val="00336238"/>
    <w:rsid w:val="00347FAA"/>
    <w:rsid w:val="0035172D"/>
    <w:rsid w:val="0036187D"/>
    <w:rsid w:val="00363F42"/>
    <w:rsid w:val="00364E79"/>
    <w:rsid w:val="00367EDB"/>
    <w:rsid w:val="003705F0"/>
    <w:rsid w:val="00381024"/>
    <w:rsid w:val="003824B8"/>
    <w:rsid w:val="00386307"/>
    <w:rsid w:val="003874DE"/>
    <w:rsid w:val="00393E9F"/>
    <w:rsid w:val="0039696E"/>
    <w:rsid w:val="003B211A"/>
    <w:rsid w:val="003C141F"/>
    <w:rsid w:val="003C6B0E"/>
    <w:rsid w:val="003C7257"/>
    <w:rsid w:val="003C7E35"/>
    <w:rsid w:val="003D1E99"/>
    <w:rsid w:val="003D6208"/>
    <w:rsid w:val="003E3C82"/>
    <w:rsid w:val="00404E8A"/>
    <w:rsid w:val="0040622F"/>
    <w:rsid w:val="00413F24"/>
    <w:rsid w:val="00422853"/>
    <w:rsid w:val="00423160"/>
    <w:rsid w:val="00437623"/>
    <w:rsid w:val="00444A2B"/>
    <w:rsid w:val="00453862"/>
    <w:rsid w:val="0045469B"/>
    <w:rsid w:val="00461338"/>
    <w:rsid w:val="004677DB"/>
    <w:rsid w:val="00476256"/>
    <w:rsid w:val="0048630F"/>
    <w:rsid w:val="004947A1"/>
    <w:rsid w:val="0049482A"/>
    <w:rsid w:val="004979D3"/>
    <w:rsid w:val="004A00E7"/>
    <w:rsid w:val="004A3A61"/>
    <w:rsid w:val="004B59BA"/>
    <w:rsid w:val="004B5A03"/>
    <w:rsid w:val="004C263A"/>
    <w:rsid w:val="004C6221"/>
    <w:rsid w:val="004D48A6"/>
    <w:rsid w:val="004D70B6"/>
    <w:rsid w:val="004D7B8F"/>
    <w:rsid w:val="004E241F"/>
    <w:rsid w:val="004E6458"/>
    <w:rsid w:val="004E6E7D"/>
    <w:rsid w:val="004E774E"/>
    <w:rsid w:val="004F1AAC"/>
    <w:rsid w:val="004F1AE2"/>
    <w:rsid w:val="004F34F0"/>
    <w:rsid w:val="004F3B2B"/>
    <w:rsid w:val="004F6050"/>
    <w:rsid w:val="005005EF"/>
    <w:rsid w:val="005123C2"/>
    <w:rsid w:val="0052144B"/>
    <w:rsid w:val="00524066"/>
    <w:rsid w:val="00526A0F"/>
    <w:rsid w:val="00534E11"/>
    <w:rsid w:val="005378D8"/>
    <w:rsid w:val="005400D9"/>
    <w:rsid w:val="005476A4"/>
    <w:rsid w:val="0055019B"/>
    <w:rsid w:val="00556E63"/>
    <w:rsid w:val="005601A4"/>
    <w:rsid w:val="00566DBB"/>
    <w:rsid w:val="00567B14"/>
    <w:rsid w:val="00574720"/>
    <w:rsid w:val="005767DB"/>
    <w:rsid w:val="005815E6"/>
    <w:rsid w:val="0058712F"/>
    <w:rsid w:val="005976CE"/>
    <w:rsid w:val="005A23D4"/>
    <w:rsid w:val="005A2D1E"/>
    <w:rsid w:val="005A4698"/>
    <w:rsid w:val="005B3756"/>
    <w:rsid w:val="005C493F"/>
    <w:rsid w:val="005C6BF7"/>
    <w:rsid w:val="005C71BF"/>
    <w:rsid w:val="005D002C"/>
    <w:rsid w:val="005D30E1"/>
    <w:rsid w:val="005D6555"/>
    <w:rsid w:val="005D7BDF"/>
    <w:rsid w:val="005E349D"/>
    <w:rsid w:val="005E4870"/>
    <w:rsid w:val="005F71D9"/>
    <w:rsid w:val="005F7602"/>
    <w:rsid w:val="006062BE"/>
    <w:rsid w:val="00613143"/>
    <w:rsid w:val="00613501"/>
    <w:rsid w:val="0061611B"/>
    <w:rsid w:val="006166A8"/>
    <w:rsid w:val="006174A1"/>
    <w:rsid w:val="00621D6C"/>
    <w:rsid w:val="00633B49"/>
    <w:rsid w:val="00641D15"/>
    <w:rsid w:val="0064297F"/>
    <w:rsid w:val="00645102"/>
    <w:rsid w:val="00646CF3"/>
    <w:rsid w:val="00653D11"/>
    <w:rsid w:val="00662983"/>
    <w:rsid w:val="006834D3"/>
    <w:rsid w:val="00692625"/>
    <w:rsid w:val="00695CD3"/>
    <w:rsid w:val="006A38B6"/>
    <w:rsid w:val="006B1987"/>
    <w:rsid w:val="006B473B"/>
    <w:rsid w:val="006B5B71"/>
    <w:rsid w:val="006B5D3E"/>
    <w:rsid w:val="006B6CB0"/>
    <w:rsid w:val="006C2B64"/>
    <w:rsid w:val="006D1BF3"/>
    <w:rsid w:val="006D4C85"/>
    <w:rsid w:val="006D66AC"/>
    <w:rsid w:val="006E33F6"/>
    <w:rsid w:val="006F1251"/>
    <w:rsid w:val="006F1C23"/>
    <w:rsid w:val="00702C18"/>
    <w:rsid w:val="00703166"/>
    <w:rsid w:val="007111C4"/>
    <w:rsid w:val="007127F3"/>
    <w:rsid w:val="007301CF"/>
    <w:rsid w:val="007316FB"/>
    <w:rsid w:val="00737E2D"/>
    <w:rsid w:val="007424D5"/>
    <w:rsid w:val="00745C63"/>
    <w:rsid w:val="00750A88"/>
    <w:rsid w:val="007523DD"/>
    <w:rsid w:val="00757B7E"/>
    <w:rsid w:val="007656B2"/>
    <w:rsid w:val="0077016F"/>
    <w:rsid w:val="007713AD"/>
    <w:rsid w:val="00795DC5"/>
    <w:rsid w:val="00797153"/>
    <w:rsid w:val="007A21F7"/>
    <w:rsid w:val="007A2B68"/>
    <w:rsid w:val="007B0DDA"/>
    <w:rsid w:val="007D3347"/>
    <w:rsid w:val="007D654E"/>
    <w:rsid w:val="007D7555"/>
    <w:rsid w:val="007E5466"/>
    <w:rsid w:val="007F1949"/>
    <w:rsid w:val="007F2592"/>
    <w:rsid w:val="00800A08"/>
    <w:rsid w:val="00804140"/>
    <w:rsid w:val="00817A84"/>
    <w:rsid w:val="008225A4"/>
    <w:rsid w:val="00824B92"/>
    <w:rsid w:val="00826D5E"/>
    <w:rsid w:val="00832013"/>
    <w:rsid w:val="00832DB7"/>
    <w:rsid w:val="00834732"/>
    <w:rsid w:val="00851FCD"/>
    <w:rsid w:val="0085200C"/>
    <w:rsid w:val="00857C52"/>
    <w:rsid w:val="00860D5F"/>
    <w:rsid w:val="008806F0"/>
    <w:rsid w:val="00880A44"/>
    <w:rsid w:val="0088345E"/>
    <w:rsid w:val="0088656F"/>
    <w:rsid w:val="008875BC"/>
    <w:rsid w:val="00891EF6"/>
    <w:rsid w:val="00892FF4"/>
    <w:rsid w:val="0089345A"/>
    <w:rsid w:val="008A0303"/>
    <w:rsid w:val="008A5FDD"/>
    <w:rsid w:val="008C3947"/>
    <w:rsid w:val="008E473B"/>
    <w:rsid w:val="008E51A6"/>
    <w:rsid w:val="008E7329"/>
    <w:rsid w:val="008F2ED5"/>
    <w:rsid w:val="0092297E"/>
    <w:rsid w:val="00923292"/>
    <w:rsid w:val="00923651"/>
    <w:rsid w:val="00924DF7"/>
    <w:rsid w:val="00927B56"/>
    <w:rsid w:val="009341BF"/>
    <w:rsid w:val="00937907"/>
    <w:rsid w:val="00941739"/>
    <w:rsid w:val="00951573"/>
    <w:rsid w:val="00963003"/>
    <w:rsid w:val="00965919"/>
    <w:rsid w:val="00966EEF"/>
    <w:rsid w:val="00971B28"/>
    <w:rsid w:val="00983471"/>
    <w:rsid w:val="009909AB"/>
    <w:rsid w:val="009A2196"/>
    <w:rsid w:val="009B37DB"/>
    <w:rsid w:val="009C7A8C"/>
    <w:rsid w:val="009D23F9"/>
    <w:rsid w:val="009D4FA8"/>
    <w:rsid w:val="009E44AE"/>
    <w:rsid w:val="009E6CD6"/>
    <w:rsid w:val="009F4D66"/>
    <w:rsid w:val="00A00C3C"/>
    <w:rsid w:val="00A01091"/>
    <w:rsid w:val="00A042B9"/>
    <w:rsid w:val="00A06DBB"/>
    <w:rsid w:val="00A22ADF"/>
    <w:rsid w:val="00A2310D"/>
    <w:rsid w:val="00A254A2"/>
    <w:rsid w:val="00A31E86"/>
    <w:rsid w:val="00A54D87"/>
    <w:rsid w:val="00A5553C"/>
    <w:rsid w:val="00A701C9"/>
    <w:rsid w:val="00A81785"/>
    <w:rsid w:val="00A84803"/>
    <w:rsid w:val="00A84C51"/>
    <w:rsid w:val="00A86F2B"/>
    <w:rsid w:val="00A91366"/>
    <w:rsid w:val="00A92F91"/>
    <w:rsid w:val="00A93AA6"/>
    <w:rsid w:val="00AA4E48"/>
    <w:rsid w:val="00AA6202"/>
    <w:rsid w:val="00AA7B57"/>
    <w:rsid w:val="00AB2806"/>
    <w:rsid w:val="00AB2D54"/>
    <w:rsid w:val="00AB6573"/>
    <w:rsid w:val="00AC26FC"/>
    <w:rsid w:val="00AC4A99"/>
    <w:rsid w:val="00AC5129"/>
    <w:rsid w:val="00AC64D2"/>
    <w:rsid w:val="00AD02E7"/>
    <w:rsid w:val="00AE0FE8"/>
    <w:rsid w:val="00AF60D5"/>
    <w:rsid w:val="00B00959"/>
    <w:rsid w:val="00B04415"/>
    <w:rsid w:val="00B06509"/>
    <w:rsid w:val="00B11D60"/>
    <w:rsid w:val="00B13D65"/>
    <w:rsid w:val="00B21805"/>
    <w:rsid w:val="00B3072E"/>
    <w:rsid w:val="00B36E15"/>
    <w:rsid w:val="00B37245"/>
    <w:rsid w:val="00B4017A"/>
    <w:rsid w:val="00B4468D"/>
    <w:rsid w:val="00B71C72"/>
    <w:rsid w:val="00B71F04"/>
    <w:rsid w:val="00B74A62"/>
    <w:rsid w:val="00B811A4"/>
    <w:rsid w:val="00B81E92"/>
    <w:rsid w:val="00B908D7"/>
    <w:rsid w:val="00B935E8"/>
    <w:rsid w:val="00B93B30"/>
    <w:rsid w:val="00B94CB5"/>
    <w:rsid w:val="00BA0DD9"/>
    <w:rsid w:val="00BA5DBC"/>
    <w:rsid w:val="00BA6495"/>
    <w:rsid w:val="00BA6584"/>
    <w:rsid w:val="00BA6F50"/>
    <w:rsid w:val="00BB6312"/>
    <w:rsid w:val="00BC39C2"/>
    <w:rsid w:val="00BC4D06"/>
    <w:rsid w:val="00BD05E1"/>
    <w:rsid w:val="00BD14A5"/>
    <w:rsid w:val="00BD585E"/>
    <w:rsid w:val="00BD6919"/>
    <w:rsid w:val="00BD7A0F"/>
    <w:rsid w:val="00BE1EA7"/>
    <w:rsid w:val="00BE7489"/>
    <w:rsid w:val="00BF2E0D"/>
    <w:rsid w:val="00BF3927"/>
    <w:rsid w:val="00BF3F8B"/>
    <w:rsid w:val="00BF76DA"/>
    <w:rsid w:val="00C00CDB"/>
    <w:rsid w:val="00C07C7B"/>
    <w:rsid w:val="00C16245"/>
    <w:rsid w:val="00C22DC5"/>
    <w:rsid w:val="00C24479"/>
    <w:rsid w:val="00C273F2"/>
    <w:rsid w:val="00C327CB"/>
    <w:rsid w:val="00C37B53"/>
    <w:rsid w:val="00C434EB"/>
    <w:rsid w:val="00C517D2"/>
    <w:rsid w:val="00C5772E"/>
    <w:rsid w:val="00C62B36"/>
    <w:rsid w:val="00C7012C"/>
    <w:rsid w:val="00C712EA"/>
    <w:rsid w:val="00C9728E"/>
    <w:rsid w:val="00CA217D"/>
    <w:rsid w:val="00CA3131"/>
    <w:rsid w:val="00CC09D4"/>
    <w:rsid w:val="00CC4F5F"/>
    <w:rsid w:val="00CC668D"/>
    <w:rsid w:val="00CC7832"/>
    <w:rsid w:val="00CD488E"/>
    <w:rsid w:val="00CE4B0B"/>
    <w:rsid w:val="00CF0C1C"/>
    <w:rsid w:val="00CF27FD"/>
    <w:rsid w:val="00CF5F12"/>
    <w:rsid w:val="00D00D8F"/>
    <w:rsid w:val="00D12869"/>
    <w:rsid w:val="00D14512"/>
    <w:rsid w:val="00D15ED6"/>
    <w:rsid w:val="00D21F3A"/>
    <w:rsid w:val="00D23808"/>
    <w:rsid w:val="00D3016A"/>
    <w:rsid w:val="00D34379"/>
    <w:rsid w:val="00D417D2"/>
    <w:rsid w:val="00D42960"/>
    <w:rsid w:val="00D43BD7"/>
    <w:rsid w:val="00D4485B"/>
    <w:rsid w:val="00D46CCD"/>
    <w:rsid w:val="00D4708D"/>
    <w:rsid w:val="00D4744C"/>
    <w:rsid w:val="00D51046"/>
    <w:rsid w:val="00D521DE"/>
    <w:rsid w:val="00D5470B"/>
    <w:rsid w:val="00D63068"/>
    <w:rsid w:val="00D6498C"/>
    <w:rsid w:val="00D66EE9"/>
    <w:rsid w:val="00D67BAF"/>
    <w:rsid w:val="00D70D2C"/>
    <w:rsid w:val="00D76A70"/>
    <w:rsid w:val="00D83182"/>
    <w:rsid w:val="00D8521E"/>
    <w:rsid w:val="00D9291C"/>
    <w:rsid w:val="00D93A97"/>
    <w:rsid w:val="00DA189E"/>
    <w:rsid w:val="00DA5602"/>
    <w:rsid w:val="00DB1F64"/>
    <w:rsid w:val="00DC261A"/>
    <w:rsid w:val="00DC2F53"/>
    <w:rsid w:val="00DC5BAC"/>
    <w:rsid w:val="00DC6816"/>
    <w:rsid w:val="00DC76C2"/>
    <w:rsid w:val="00DD1CF2"/>
    <w:rsid w:val="00DE4484"/>
    <w:rsid w:val="00DF41B7"/>
    <w:rsid w:val="00DF4A4A"/>
    <w:rsid w:val="00DF583C"/>
    <w:rsid w:val="00E03C3F"/>
    <w:rsid w:val="00E06FD7"/>
    <w:rsid w:val="00E07417"/>
    <w:rsid w:val="00E24D45"/>
    <w:rsid w:val="00E26944"/>
    <w:rsid w:val="00E33DB8"/>
    <w:rsid w:val="00E33EFF"/>
    <w:rsid w:val="00E34387"/>
    <w:rsid w:val="00E348BA"/>
    <w:rsid w:val="00E369FE"/>
    <w:rsid w:val="00E37C6F"/>
    <w:rsid w:val="00E475F8"/>
    <w:rsid w:val="00E5102E"/>
    <w:rsid w:val="00E5721C"/>
    <w:rsid w:val="00E619C6"/>
    <w:rsid w:val="00E70CED"/>
    <w:rsid w:val="00E745A1"/>
    <w:rsid w:val="00E75400"/>
    <w:rsid w:val="00E81529"/>
    <w:rsid w:val="00E827C9"/>
    <w:rsid w:val="00E83A13"/>
    <w:rsid w:val="00EB1151"/>
    <w:rsid w:val="00EB6FC5"/>
    <w:rsid w:val="00EC2356"/>
    <w:rsid w:val="00EC2582"/>
    <w:rsid w:val="00EC337C"/>
    <w:rsid w:val="00ED0CFF"/>
    <w:rsid w:val="00ED31D2"/>
    <w:rsid w:val="00EE0EAC"/>
    <w:rsid w:val="00EE1B1B"/>
    <w:rsid w:val="00EE3322"/>
    <w:rsid w:val="00EE33CB"/>
    <w:rsid w:val="00F0061A"/>
    <w:rsid w:val="00F02834"/>
    <w:rsid w:val="00F04EEB"/>
    <w:rsid w:val="00F05467"/>
    <w:rsid w:val="00F055D2"/>
    <w:rsid w:val="00F07CD7"/>
    <w:rsid w:val="00F127E9"/>
    <w:rsid w:val="00F14477"/>
    <w:rsid w:val="00F14B5D"/>
    <w:rsid w:val="00F2187F"/>
    <w:rsid w:val="00F259FC"/>
    <w:rsid w:val="00F313F4"/>
    <w:rsid w:val="00F36972"/>
    <w:rsid w:val="00F41710"/>
    <w:rsid w:val="00F42426"/>
    <w:rsid w:val="00F44F01"/>
    <w:rsid w:val="00F456BC"/>
    <w:rsid w:val="00F50666"/>
    <w:rsid w:val="00F70731"/>
    <w:rsid w:val="00F70C9E"/>
    <w:rsid w:val="00F74A74"/>
    <w:rsid w:val="00F7572C"/>
    <w:rsid w:val="00F8382C"/>
    <w:rsid w:val="00F855D7"/>
    <w:rsid w:val="00F92035"/>
    <w:rsid w:val="00F92748"/>
    <w:rsid w:val="00FA4169"/>
    <w:rsid w:val="00FB0D41"/>
    <w:rsid w:val="00FB2030"/>
    <w:rsid w:val="00FB59A3"/>
    <w:rsid w:val="00FD0E46"/>
    <w:rsid w:val="00FD1060"/>
    <w:rsid w:val="00FD1308"/>
    <w:rsid w:val="00FD1CF2"/>
    <w:rsid w:val="00FD3EDF"/>
    <w:rsid w:val="00FD793C"/>
    <w:rsid w:val="00FE0FD5"/>
    <w:rsid w:val="00FE20E6"/>
    <w:rsid w:val="00FE3E3B"/>
    <w:rsid w:val="00FE5878"/>
    <w:rsid w:val="00FF4032"/>
    <w:rsid w:val="00FF4A2E"/>
    <w:rsid w:val="00FF6469"/>
    <w:rsid w:val="00FF7E4A"/>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FE6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1529"/>
    <w:rPr>
      <w:sz w:val="24"/>
      <w:szCs w:val="24"/>
      <w:lang w:eastAsia="en-US"/>
    </w:rPr>
  </w:style>
  <w:style w:type="paragraph" w:styleId="Heading1">
    <w:name w:val="heading 1"/>
    <w:basedOn w:val="Normal"/>
    <w:next w:val="Normal"/>
    <w:qFormat/>
    <w:rsid w:val="00A84C51"/>
    <w:pPr>
      <w:keepNext/>
      <w:jc w:val="center"/>
      <w:outlineLvl w:val="0"/>
    </w:pPr>
    <w:rPr>
      <w:b/>
      <w:bCs/>
      <w:caps/>
    </w:rPr>
  </w:style>
  <w:style w:type="paragraph" w:styleId="Heading2">
    <w:name w:val="heading 2"/>
    <w:basedOn w:val="Normal"/>
    <w:next w:val="Normal"/>
    <w:qFormat/>
    <w:rsid w:val="00A84C51"/>
    <w:pPr>
      <w:keepNext/>
      <w:jc w:val="center"/>
      <w:outlineLvl w:val="1"/>
    </w:pPr>
    <w:rPr>
      <w:b/>
      <w:bCs/>
      <w: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84C51"/>
    <w:pPr>
      <w:tabs>
        <w:tab w:val="center" w:pos="4986"/>
        <w:tab w:val="right" w:pos="9972"/>
      </w:tabs>
    </w:pPr>
  </w:style>
  <w:style w:type="paragraph" w:styleId="Footer">
    <w:name w:val="footer"/>
    <w:basedOn w:val="Normal"/>
    <w:link w:val="FooterChar"/>
    <w:rsid w:val="00A84C51"/>
    <w:pPr>
      <w:tabs>
        <w:tab w:val="center" w:pos="4986"/>
        <w:tab w:val="right" w:pos="9972"/>
      </w:tabs>
    </w:pPr>
  </w:style>
  <w:style w:type="character" w:styleId="PageNumber">
    <w:name w:val="page number"/>
    <w:basedOn w:val="DefaultParagraphFont"/>
    <w:rsid w:val="00A84C51"/>
  </w:style>
  <w:style w:type="character" w:styleId="Hyperlink">
    <w:name w:val="Hyperlink"/>
    <w:basedOn w:val="DefaultParagraphFont"/>
    <w:rsid w:val="00A84C51"/>
    <w:rPr>
      <w:color w:val="0000FF"/>
      <w:u w:val="single"/>
    </w:rPr>
  </w:style>
  <w:style w:type="paragraph" w:styleId="BalloonText">
    <w:name w:val="Balloon Text"/>
    <w:basedOn w:val="Normal"/>
    <w:semiHidden/>
    <w:rsid w:val="00EC2356"/>
    <w:rPr>
      <w:rFonts w:ascii="Tahoma" w:hAnsi="Tahoma" w:cs="Tahoma"/>
      <w:sz w:val="16"/>
      <w:szCs w:val="16"/>
    </w:rPr>
  </w:style>
  <w:style w:type="character" w:customStyle="1" w:styleId="FooterChar">
    <w:name w:val="Footer Char"/>
    <w:basedOn w:val="DefaultParagraphFont"/>
    <w:link w:val="Footer"/>
    <w:rsid w:val="00737E2D"/>
    <w:rPr>
      <w:sz w:val="24"/>
      <w:szCs w:val="24"/>
      <w:lang w:eastAsia="en-US"/>
    </w:rPr>
  </w:style>
  <w:style w:type="character" w:customStyle="1" w:styleId="Neapdorotaspaminjimas1">
    <w:name w:val="Neapdorotas paminėjimas1"/>
    <w:basedOn w:val="DefaultParagraphFont"/>
    <w:uiPriority w:val="99"/>
    <w:semiHidden/>
    <w:unhideWhenUsed/>
    <w:rsid w:val="00A31E86"/>
    <w:rPr>
      <w:color w:val="605E5C"/>
      <w:shd w:val="clear" w:color="auto" w:fill="E1DFDD"/>
    </w:rPr>
  </w:style>
  <w:style w:type="character" w:styleId="FollowedHyperlink">
    <w:name w:val="FollowedHyperlink"/>
    <w:basedOn w:val="DefaultParagraphFont"/>
    <w:semiHidden/>
    <w:unhideWhenUsed/>
    <w:rsid w:val="00A31E86"/>
    <w:rPr>
      <w:color w:val="800080" w:themeColor="followedHyperlink"/>
      <w:u w:val="single"/>
    </w:rPr>
  </w:style>
  <w:style w:type="table" w:styleId="TableGrid">
    <w:name w:val="Table Grid"/>
    <w:basedOn w:val="TableNormal"/>
    <w:rsid w:val="00D4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7012C"/>
    <w:rPr>
      <w:sz w:val="16"/>
      <w:szCs w:val="16"/>
    </w:rPr>
  </w:style>
  <w:style w:type="paragraph" w:styleId="CommentText">
    <w:name w:val="annotation text"/>
    <w:basedOn w:val="Normal"/>
    <w:link w:val="CommentTextChar"/>
    <w:unhideWhenUsed/>
    <w:rsid w:val="00C7012C"/>
    <w:rPr>
      <w:sz w:val="20"/>
      <w:szCs w:val="20"/>
    </w:rPr>
  </w:style>
  <w:style w:type="character" w:customStyle="1" w:styleId="CommentTextChar">
    <w:name w:val="Comment Text Char"/>
    <w:basedOn w:val="DefaultParagraphFont"/>
    <w:link w:val="CommentText"/>
    <w:rsid w:val="00C7012C"/>
    <w:rPr>
      <w:lang w:eastAsia="en-US"/>
    </w:rPr>
  </w:style>
  <w:style w:type="paragraph" w:styleId="CommentSubject">
    <w:name w:val="annotation subject"/>
    <w:basedOn w:val="CommentText"/>
    <w:next w:val="CommentText"/>
    <w:link w:val="CommentSubjectChar"/>
    <w:semiHidden/>
    <w:unhideWhenUsed/>
    <w:rsid w:val="00C7012C"/>
    <w:rPr>
      <w:b/>
      <w:bCs/>
    </w:rPr>
  </w:style>
  <w:style w:type="character" w:customStyle="1" w:styleId="CommentSubjectChar">
    <w:name w:val="Comment Subject Char"/>
    <w:basedOn w:val="CommentTextChar"/>
    <w:link w:val="CommentSubject"/>
    <w:semiHidden/>
    <w:rsid w:val="00C7012C"/>
    <w:rPr>
      <w:b/>
      <w:bCs/>
      <w:lang w:eastAsia="en-US"/>
    </w:rPr>
  </w:style>
  <w:style w:type="paragraph" w:styleId="ListParagraph">
    <w:name w:val="List Paragraph"/>
    <w:aliases w:val="Bullet List,Bullet1,Use Case List Paragraph,List Paragraph1,Body Bullet,Table Number Paragraph,Colorful List - Accent 11,List Paragraph 1,Ref,B1,Figure_name,bu1,bu1 + Before:  0 pt,After:  6 pt,Bullet for no #'s,Paragraph,lp1,Bullet 1"/>
    <w:basedOn w:val="Normal"/>
    <w:link w:val="ListParagraphChar"/>
    <w:uiPriority w:val="99"/>
    <w:qFormat/>
    <w:rsid w:val="00104E2E"/>
    <w:pPr>
      <w:ind w:left="720"/>
      <w:contextualSpacing/>
    </w:pPr>
  </w:style>
  <w:style w:type="character" w:customStyle="1" w:styleId="Style2">
    <w:name w:val="Style2"/>
    <w:basedOn w:val="DefaultParagraphFont"/>
    <w:uiPriority w:val="1"/>
    <w:rsid w:val="00D6498C"/>
    <w:rPr>
      <w:sz w:val="32"/>
    </w:rPr>
  </w:style>
  <w:style w:type="character" w:styleId="PlaceholderText">
    <w:name w:val="Placeholder Text"/>
    <w:basedOn w:val="DefaultParagraphFont"/>
    <w:uiPriority w:val="99"/>
    <w:rsid w:val="00B13D65"/>
    <w:rPr>
      <w:color w:val="808080"/>
    </w:rPr>
  </w:style>
  <w:style w:type="paragraph" w:styleId="NoSpacing">
    <w:name w:val="No Spacing"/>
    <w:uiPriority w:val="1"/>
    <w:qFormat/>
    <w:rsid w:val="00B13D65"/>
    <w:rPr>
      <w:rFonts w:ascii="Calibri" w:eastAsia="Calibri" w:hAnsi="Calibri"/>
      <w:sz w:val="22"/>
      <w:szCs w:val="22"/>
      <w:lang w:eastAsia="en-US"/>
    </w:rPr>
  </w:style>
  <w:style w:type="table" w:customStyle="1" w:styleId="Lentelstinklelis1">
    <w:name w:val="Lentelės tinklelis1"/>
    <w:basedOn w:val="TableNormal"/>
    <w:next w:val="TableGrid"/>
    <w:rsid w:val="009E44AE"/>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6256"/>
    <w:rPr>
      <w:sz w:val="24"/>
      <w:szCs w:val="24"/>
      <w:lang w:eastAsia="en-US"/>
    </w:rPr>
  </w:style>
  <w:style w:type="character" w:customStyle="1" w:styleId="ListParagraphChar">
    <w:name w:val="List Paragraph Char"/>
    <w:aliases w:val="Bullet List Char,Bullet1 Char,Use Case List Paragraph Char,List Paragraph1 Char,Body Bullet Char,Table Number Paragraph Char,Colorful List - Accent 11 Char,List Paragraph 1 Char,Ref Char,B1 Char,Figure_name Char,bu1 Char,lp1 Char"/>
    <w:basedOn w:val="DefaultParagraphFont"/>
    <w:link w:val="ListParagraph"/>
    <w:uiPriority w:val="34"/>
    <w:qFormat/>
    <w:rsid w:val="0021231B"/>
    <w:rPr>
      <w:sz w:val="24"/>
      <w:szCs w:val="24"/>
      <w:lang w:eastAsia="en-US"/>
    </w:rPr>
  </w:style>
  <w:style w:type="paragraph" w:customStyle="1" w:styleId="0TEXT">
    <w:name w:val="0: TEXT"/>
    <w:basedOn w:val="Normal"/>
    <w:link w:val="0TEXTChar"/>
    <w:qFormat/>
    <w:rsid w:val="00E827C9"/>
    <w:pPr>
      <w:spacing w:before="240"/>
      <w:ind w:firstLine="567"/>
      <w:jc w:val="both"/>
    </w:pPr>
    <w:rPr>
      <w:rFonts w:eastAsiaTheme="minorHAnsi"/>
      <w:bCs/>
      <w:color w:val="000000"/>
      <w:lang w:val="en-GB"/>
    </w:rPr>
  </w:style>
  <w:style w:type="character" w:customStyle="1" w:styleId="0TEXTChar">
    <w:name w:val="0: TEXT Char"/>
    <w:basedOn w:val="DefaultParagraphFont"/>
    <w:link w:val="0TEXT"/>
    <w:rsid w:val="00E827C9"/>
    <w:rPr>
      <w:rFonts w:eastAsiaTheme="minorHAnsi"/>
      <w:bCs/>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802146">
      <w:bodyDiv w:val="1"/>
      <w:marLeft w:val="0"/>
      <w:marRight w:val="0"/>
      <w:marTop w:val="0"/>
      <w:marBottom w:val="0"/>
      <w:divBdr>
        <w:top w:val="none" w:sz="0" w:space="0" w:color="auto"/>
        <w:left w:val="none" w:sz="0" w:space="0" w:color="auto"/>
        <w:bottom w:val="none" w:sz="0" w:space="0" w:color="auto"/>
        <w:right w:val="none" w:sz="0" w:space="0" w:color="auto"/>
      </w:divBdr>
    </w:div>
    <w:div w:id="159778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D7EBE30A7F432F9AB1114CDC0B27A0"/>
        <w:category>
          <w:name w:val="Bendrosios nuostatos"/>
          <w:gallery w:val="placeholder"/>
        </w:category>
        <w:types>
          <w:type w:val="bbPlcHdr"/>
        </w:types>
        <w:behaviors>
          <w:behavior w:val="content"/>
        </w:behaviors>
        <w:guid w:val="{17F62492-AACD-4837-966A-2DF1151E6A27}"/>
      </w:docPartPr>
      <w:docPartBody>
        <w:p w:rsidR="00A20D39" w:rsidRDefault="00C66578" w:rsidP="00C66578">
          <w:pPr>
            <w:pStyle w:val="93D7EBE30A7F432F9AB1114CDC0B27A0"/>
          </w:pPr>
          <w:r>
            <w:rPr>
              <w:rStyle w:val="PlaceholderText"/>
            </w:rPr>
            <w:t>Click here to enter a date.</w:t>
          </w:r>
        </w:p>
      </w:docPartBody>
    </w:docPart>
    <w:docPart>
      <w:docPartPr>
        <w:name w:val="313EC56AA2FD440FAB92ED675BD36BA0"/>
        <w:category>
          <w:name w:val="Bendrosios nuostatos"/>
          <w:gallery w:val="placeholder"/>
        </w:category>
        <w:types>
          <w:type w:val="bbPlcHdr"/>
        </w:types>
        <w:behaviors>
          <w:behavior w:val="content"/>
        </w:behaviors>
        <w:guid w:val="{930DD3CB-97DE-4BCB-96BE-0677BB5CE856}"/>
      </w:docPartPr>
      <w:docPartBody>
        <w:p w:rsidR="00A20D39" w:rsidRDefault="00C66578" w:rsidP="00C66578">
          <w:pPr>
            <w:pStyle w:val="313EC56AA2FD440FAB92ED675BD36BA0"/>
          </w:pPr>
          <w:r>
            <w:rPr>
              <w:rStyle w:val="PlaceholderText"/>
            </w:rPr>
            <w:t>Click here to enter a date.</w:t>
          </w:r>
        </w:p>
      </w:docPartBody>
    </w:docPart>
    <w:docPart>
      <w:docPartPr>
        <w:name w:val="842E98C89A3C4C0D95D5C6C8D44840AB"/>
        <w:category>
          <w:name w:val="Bendrosios nuostatos"/>
          <w:gallery w:val="placeholder"/>
        </w:category>
        <w:types>
          <w:type w:val="bbPlcHdr"/>
        </w:types>
        <w:behaviors>
          <w:behavior w:val="content"/>
        </w:behaviors>
        <w:guid w:val="{57A9A310-05AB-439A-AD73-80802D4467DF}"/>
      </w:docPartPr>
      <w:docPartBody>
        <w:p w:rsidR="00F3133E" w:rsidRDefault="00F0628C" w:rsidP="00F0628C">
          <w:pPr>
            <w:pStyle w:val="842E98C89A3C4C0D95D5C6C8D44840AB"/>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DD"/>
    <w:rsid w:val="0001247F"/>
    <w:rsid w:val="00047C19"/>
    <w:rsid w:val="00061157"/>
    <w:rsid w:val="000624FF"/>
    <w:rsid w:val="000937FE"/>
    <w:rsid w:val="000A50C9"/>
    <w:rsid w:val="000A559A"/>
    <w:rsid w:val="000B1540"/>
    <w:rsid w:val="000B4A58"/>
    <w:rsid w:val="000D24D4"/>
    <w:rsid w:val="000D6217"/>
    <w:rsid w:val="00130011"/>
    <w:rsid w:val="0014006D"/>
    <w:rsid w:val="00180187"/>
    <w:rsid w:val="001828CB"/>
    <w:rsid w:val="001C35A9"/>
    <w:rsid w:val="00237556"/>
    <w:rsid w:val="002C0686"/>
    <w:rsid w:val="0039303B"/>
    <w:rsid w:val="004144A3"/>
    <w:rsid w:val="004160E7"/>
    <w:rsid w:val="004416C6"/>
    <w:rsid w:val="00456E96"/>
    <w:rsid w:val="004C6221"/>
    <w:rsid w:val="004D038D"/>
    <w:rsid w:val="004F4E20"/>
    <w:rsid w:val="004F5AB2"/>
    <w:rsid w:val="005074B9"/>
    <w:rsid w:val="00563A5F"/>
    <w:rsid w:val="005C62E5"/>
    <w:rsid w:val="005E40DD"/>
    <w:rsid w:val="00601F4E"/>
    <w:rsid w:val="006503A9"/>
    <w:rsid w:val="006A1D6C"/>
    <w:rsid w:val="006B473B"/>
    <w:rsid w:val="006E6A2C"/>
    <w:rsid w:val="007219C1"/>
    <w:rsid w:val="00723A15"/>
    <w:rsid w:val="00740017"/>
    <w:rsid w:val="00745C63"/>
    <w:rsid w:val="00753462"/>
    <w:rsid w:val="00772325"/>
    <w:rsid w:val="007A2FE0"/>
    <w:rsid w:val="007C6D1D"/>
    <w:rsid w:val="007D654E"/>
    <w:rsid w:val="00892FF4"/>
    <w:rsid w:val="008C0DC0"/>
    <w:rsid w:val="0090074D"/>
    <w:rsid w:val="00901A35"/>
    <w:rsid w:val="009A2196"/>
    <w:rsid w:val="009B3BF0"/>
    <w:rsid w:val="009D5E5E"/>
    <w:rsid w:val="009F1BB4"/>
    <w:rsid w:val="00A20D39"/>
    <w:rsid w:val="00A254A2"/>
    <w:rsid w:val="00AB2D54"/>
    <w:rsid w:val="00AB6ED4"/>
    <w:rsid w:val="00AE2ECB"/>
    <w:rsid w:val="00B14210"/>
    <w:rsid w:val="00B22ED6"/>
    <w:rsid w:val="00B23DC0"/>
    <w:rsid w:val="00B71F04"/>
    <w:rsid w:val="00B96656"/>
    <w:rsid w:val="00BA0A8E"/>
    <w:rsid w:val="00BA6F50"/>
    <w:rsid w:val="00BE3364"/>
    <w:rsid w:val="00BF7547"/>
    <w:rsid w:val="00C2401D"/>
    <w:rsid w:val="00C250D7"/>
    <w:rsid w:val="00C327CB"/>
    <w:rsid w:val="00C53A68"/>
    <w:rsid w:val="00C66578"/>
    <w:rsid w:val="00CA5BB4"/>
    <w:rsid w:val="00CB4BD1"/>
    <w:rsid w:val="00CD139C"/>
    <w:rsid w:val="00CE2DA9"/>
    <w:rsid w:val="00CE44BE"/>
    <w:rsid w:val="00D008F3"/>
    <w:rsid w:val="00D0142D"/>
    <w:rsid w:val="00D04DFF"/>
    <w:rsid w:val="00D15ED6"/>
    <w:rsid w:val="00D20347"/>
    <w:rsid w:val="00D4356B"/>
    <w:rsid w:val="00D7162F"/>
    <w:rsid w:val="00D87446"/>
    <w:rsid w:val="00DA189E"/>
    <w:rsid w:val="00DA599C"/>
    <w:rsid w:val="00DB4DB5"/>
    <w:rsid w:val="00DE4D10"/>
    <w:rsid w:val="00E26944"/>
    <w:rsid w:val="00E44A86"/>
    <w:rsid w:val="00E522EB"/>
    <w:rsid w:val="00E60827"/>
    <w:rsid w:val="00EF6E0C"/>
    <w:rsid w:val="00F0628C"/>
    <w:rsid w:val="00F14477"/>
    <w:rsid w:val="00F3133E"/>
    <w:rsid w:val="00F370E5"/>
    <w:rsid w:val="00F41710"/>
    <w:rsid w:val="00F55028"/>
    <w:rsid w:val="00F677F0"/>
    <w:rsid w:val="00F77BEF"/>
    <w:rsid w:val="00FC755C"/>
    <w:rsid w:val="00FE0D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0628C"/>
    <w:rPr>
      <w:color w:val="808080"/>
    </w:rPr>
  </w:style>
  <w:style w:type="paragraph" w:customStyle="1" w:styleId="842E98C89A3C4C0D95D5C6C8D44840AB">
    <w:name w:val="842E98C89A3C4C0D95D5C6C8D44840AB"/>
    <w:rsid w:val="00F0628C"/>
    <w:pPr>
      <w:spacing w:line="278" w:lineRule="auto"/>
    </w:pPr>
    <w:rPr>
      <w:kern w:val="2"/>
      <w:sz w:val="24"/>
      <w:szCs w:val="24"/>
      <w14:ligatures w14:val="standardContextual"/>
    </w:rPr>
  </w:style>
  <w:style w:type="paragraph" w:customStyle="1" w:styleId="93D7EBE30A7F432F9AB1114CDC0B27A0">
    <w:name w:val="93D7EBE30A7F432F9AB1114CDC0B27A0"/>
    <w:rsid w:val="00C66578"/>
    <w:pPr>
      <w:spacing w:line="278" w:lineRule="auto"/>
    </w:pPr>
    <w:rPr>
      <w:kern w:val="2"/>
      <w:sz w:val="24"/>
      <w:szCs w:val="24"/>
      <w14:ligatures w14:val="standardContextual"/>
    </w:rPr>
  </w:style>
  <w:style w:type="paragraph" w:customStyle="1" w:styleId="313EC56AA2FD440FAB92ED675BD36BA0">
    <w:name w:val="313EC56AA2FD440FAB92ED675BD36BA0"/>
    <w:rsid w:val="00C6657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92C56-331A-4FE6-92C7-B17C0613667F}">
  <ds:schemaRefs>
    <ds:schemaRef ds:uri="http://schemas.openxmlformats.org/officeDocument/2006/bibliography"/>
  </ds:schemaRefs>
</ds:datastoreItem>
</file>

<file path=docMetadata/LabelInfo.xml><?xml version="1.0" encoding="utf-8"?>
<clbl:labelList xmlns:clbl="http://schemas.microsoft.com/office/2020/mipLabelMetadata">
  <clbl:label id="{397cd41d-f0df-44e5-aea8-cb12e7ea80cd}" enabled="0" method="" siteId="{397cd41d-f0df-44e5-aea8-cb12e7ea80cd}"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2059</Words>
  <Characters>14624</Characters>
  <Application>Microsoft Office Word</Application>
  <DocSecurity>0</DocSecurity>
  <Lines>324</Lines>
  <Paragraphs>135</Paragraphs>
  <ScaleCrop>false</ScaleCrop>
  <Company/>
  <LinksUpToDate>false</LinksUpToDate>
  <CharactersWithSpaces>16548</CharactersWithSpaces>
  <SharedDoc>false</SharedDoc>
  <HLinks>
    <vt:vector size="6" baseType="variant">
      <vt:variant>
        <vt:i4>5308539</vt:i4>
      </vt:variant>
      <vt:variant>
        <vt:i4>6</vt:i4>
      </vt:variant>
      <vt:variant>
        <vt:i4>0</vt:i4>
      </vt:variant>
      <vt:variant>
        <vt:i4>5</vt:i4>
      </vt:variant>
      <vt:variant>
        <vt:lpwstr>mailto:vvkt@vvkt.lt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2026-10-01T09:41:00Z</dcterms:created>
  <dcterms:modified xsi:type="dcterms:W3CDTF">2026-10-07T07:04:00Z</dcterms:modified>
</cp:coreProperties>
</file>