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E5EB3" w14:textId="1955ADE3" w:rsidR="005F7602" w:rsidRPr="00334F18" w:rsidRDefault="005F7602" w:rsidP="00D7262F">
      <w:pPr>
        <w:spacing w:line="276" w:lineRule="auto"/>
        <w:ind w:left="5529"/>
      </w:pPr>
    </w:p>
    <w:p w14:paraId="12FA4B9E" w14:textId="39AA3336" w:rsidR="001B3C5B" w:rsidRPr="00334F18" w:rsidRDefault="00DC261A" w:rsidP="00D7262F">
      <w:pPr>
        <w:spacing w:line="276" w:lineRule="auto"/>
        <w:ind w:left="6096"/>
      </w:pPr>
      <w:bookmarkStart w:id="0" w:name="_Hlk189565243"/>
      <w:r w:rsidRPr="00334F18">
        <w:t>PATVIRTINTA</w:t>
      </w:r>
    </w:p>
    <w:p w14:paraId="7206970B" w14:textId="70E9BD2E" w:rsidR="004C263A" w:rsidRPr="00334F18" w:rsidRDefault="001B3C5B" w:rsidP="00D7262F">
      <w:pPr>
        <w:spacing w:line="276" w:lineRule="auto"/>
        <w:ind w:left="6096"/>
      </w:pPr>
      <w:r w:rsidRPr="00334F18">
        <w:t>Valstybinės vaistų kontrolės tarnybos prie Lietuvos Respublikos sveikatos apsaugos ministerijos viršininko 2021 m</w:t>
      </w:r>
      <w:r w:rsidR="004C263A" w:rsidRPr="00334F18">
        <w:t xml:space="preserve">. lapkričio 12 </w:t>
      </w:r>
      <w:r w:rsidRPr="00334F18">
        <w:t>d. įsakymu Nr.</w:t>
      </w:r>
      <w:r w:rsidR="004C263A" w:rsidRPr="00334F18">
        <w:t xml:space="preserve"> (1.72E)1A-1418</w:t>
      </w:r>
    </w:p>
    <w:p w14:paraId="5B219AA6" w14:textId="3A5D6CB4" w:rsidR="001B3C5B" w:rsidRPr="00334F18" w:rsidRDefault="004C263A" w:rsidP="00D7262F">
      <w:pPr>
        <w:spacing w:line="276" w:lineRule="auto"/>
        <w:ind w:left="6096"/>
      </w:pPr>
      <w:r w:rsidRPr="00334F18">
        <w:t>(Valstybinės vaistų kontrolės tarnybos prie Lietuvos Respublikos sveikatos apsaugos ministerijos viršininko 202</w:t>
      </w:r>
      <w:r w:rsidR="00A2310D" w:rsidRPr="00334F18">
        <w:t>5</w:t>
      </w:r>
      <w:r w:rsidRPr="00334F18">
        <w:t xml:space="preserve"> m.                         d. įsakymo Nr.                    redakcija)</w:t>
      </w:r>
    </w:p>
    <w:p w14:paraId="1C168261" w14:textId="41E1A8C0" w:rsidR="00DC261A" w:rsidRPr="00334F18" w:rsidRDefault="00DC261A" w:rsidP="00D7262F">
      <w:pPr>
        <w:spacing w:line="276" w:lineRule="auto"/>
        <w:rPr>
          <w:b/>
          <w:bCs/>
        </w:rPr>
      </w:pPr>
      <w:bookmarkStart w:id="1" w:name="_Hlk189565260"/>
      <w:bookmarkEnd w:id="0"/>
    </w:p>
    <w:bookmarkEnd w:id="1"/>
    <w:p w14:paraId="77AFB67E" w14:textId="0FB133A2" w:rsidR="00613501" w:rsidRPr="00334F18" w:rsidRDefault="002F0E4F" w:rsidP="00D7262F">
      <w:pPr>
        <w:spacing w:line="276" w:lineRule="auto"/>
        <w:jc w:val="center"/>
        <w:rPr>
          <w:b/>
          <w:bCs/>
          <w:caps/>
        </w:rPr>
      </w:pPr>
      <w:r w:rsidRPr="00334F18">
        <w:rPr>
          <w:b/>
        </w:rPr>
        <w:t xml:space="preserve">REKOMENDACIJA DĖL VAISTINIO PREPARATO </w:t>
      </w:r>
      <w:r w:rsidRPr="00334F18">
        <w:rPr>
          <w:b/>
          <w:bCs/>
          <w:caps/>
        </w:rPr>
        <w:t>Lietuvos Respublikos Sveikatos apsaugos ministerijos vaistinių preparatų ir medicinos pagalbos priemonių kompensavimo komisijai</w:t>
      </w:r>
    </w:p>
    <w:p w14:paraId="34E4395D" w14:textId="15FB10DF" w:rsidR="00B13D65" w:rsidRPr="00334F18" w:rsidRDefault="00B13D65" w:rsidP="00D7262F">
      <w:pPr>
        <w:spacing w:line="276" w:lineRule="auto"/>
        <w:jc w:val="center"/>
        <w:rPr>
          <w:b/>
        </w:rPr>
      </w:pPr>
    </w:p>
    <w:p w14:paraId="2BCFA356" w14:textId="77777777" w:rsidR="00260AA8" w:rsidRPr="000A178E" w:rsidRDefault="00260AA8" w:rsidP="00D7262F">
      <w:pPr>
        <w:spacing w:line="276" w:lineRule="auto"/>
        <w:jc w:val="center"/>
        <w:rPr>
          <w:b/>
        </w:rPr>
      </w:pPr>
      <w:r w:rsidRPr="000A178E">
        <w:rPr>
          <w:b/>
        </w:rPr>
        <w:t>Imbruvica 560 mg plėvele dengtos tabletės</w:t>
      </w:r>
    </w:p>
    <w:p w14:paraId="57B9EF5C" w14:textId="77777777" w:rsidR="00260AA8" w:rsidRPr="000A178E" w:rsidRDefault="00260AA8" w:rsidP="00D7262F">
      <w:pPr>
        <w:spacing w:line="276" w:lineRule="auto"/>
        <w:jc w:val="center"/>
      </w:pPr>
    </w:p>
    <w:p w14:paraId="13208374" w14:textId="77777777" w:rsidR="00260AA8" w:rsidRPr="000A178E" w:rsidRDefault="00260AA8" w:rsidP="00D7262F">
      <w:pPr>
        <w:spacing w:line="276" w:lineRule="auto"/>
        <w:jc w:val="center"/>
      </w:pPr>
      <w:r w:rsidRPr="000A178E">
        <w:rPr>
          <w:b/>
        </w:rPr>
        <w:t>Ibrutinibas</w:t>
      </w:r>
    </w:p>
    <w:p w14:paraId="615FA340" w14:textId="77777777" w:rsidR="00260AA8" w:rsidRPr="000A178E" w:rsidRDefault="00260AA8" w:rsidP="00D7262F">
      <w:pPr>
        <w:spacing w:line="276" w:lineRule="auto"/>
        <w:jc w:val="center"/>
      </w:pPr>
    </w:p>
    <w:p w14:paraId="2D06AB3D" w14:textId="77777777" w:rsidR="00260AA8" w:rsidRPr="000A178E" w:rsidRDefault="00260AA8" w:rsidP="00D7262F">
      <w:pPr>
        <w:spacing w:line="276" w:lineRule="auto"/>
        <w:jc w:val="center"/>
        <w:rPr>
          <w:b/>
        </w:rPr>
      </w:pPr>
      <w:r w:rsidRPr="000A178E">
        <w:rPr>
          <w:b/>
        </w:rPr>
        <w:t>SVT-295</w:t>
      </w:r>
    </w:p>
    <w:p w14:paraId="09EA6495" w14:textId="77777777" w:rsidR="00D458B7" w:rsidRPr="00603B3A" w:rsidRDefault="00D458B7" w:rsidP="00D7262F">
      <w:pPr>
        <w:spacing w:line="276" w:lineRule="auto"/>
        <w:rPr>
          <w:rFonts w:eastAsia="Arial"/>
        </w:rPr>
      </w:pPr>
    </w:p>
    <w:p w14:paraId="453197C8" w14:textId="77777777" w:rsidR="00D4708D" w:rsidRPr="00334F18" w:rsidRDefault="00D4708D" w:rsidP="00D7262F">
      <w:pPr>
        <w:spacing w:line="276" w:lineRule="auto"/>
        <w:jc w:val="center"/>
        <w:rPr>
          <w:b/>
        </w:rPr>
      </w:pPr>
    </w:p>
    <w:p w14:paraId="78C89D1C" w14:textId="0DEFFAA5" w:rsidR="00D4485B" w:rsidRPr="00334F18" w:rsidRDefault="00B13D65" w:rsidP="00D7262F">
      <w:pPr>
        <w:pStyle w:val="Sraopastraipa"/>
        <w:numPr>
          <w:ilvl w:val="0"/>
          <w:numId w:val="12"/>
        </w:numPr>
        <w:tabs>
          <w:tab w:val="left" w:pos="567"/>
        </w:tabs>
        <w:spacing w:line="276" w:lineRule="auto"/>
        <w:ind w:left="567" w:hanging="567"/>
        <w:rPr>
          <w:b/>
          <w:bCs/>
          <w:caps/>
        </w:rPr>
      </w:pPr>
      <w:r w:rsidRPr="00334F18">
        <w:rPr>
          <w:b/>
          <w:bCs/>
          <w:caps/>
        </w:rPr>
        <w:t>Bendroji dalis</w:t>
      </w:r>
    </w:p>
    <w:p w14:paraId="04A7C7A7" w14:textId="77777777" w:rsidR="00B13D65" w:rsidRPr="00334F18" w:rsidRDefault="00B13D65" w:rsidP="00D7262F">
      <w:pPr>
        <w:pStyle w:val="Sraopastraipa"/>
        <w:tabs>
          <w:tab w:val="left" w:pos="284"/>
        </w:tabs>
        <w:spacing w:line="276" w:lineRule="auto"/>
        <w:ind w:left="0"/>
        <w:rPr>
          <w:b/>
          <w:bCs/>
          <w:caps/>
        </w:rPr>
      </w:pPr>
    </w:p>
    <w:tbl>
      <w:tblPr>
        <w:tblStyle w:val="Lentelstinklelis"/>
        <w:tblW w:w="9493" w:type="dxa"/>
        <w:tblLook w:val="04A0" w:firstRow="1" w:lastRow="0" w:firstColumn="1" w:lastColumn="0" w:noHBand="0" w:noVBand="1"/>
      </w:tblPr>
      <w:tblGrid>
        <w:gridCol w:w="632"/>
        <w:gridCol w:w="3899"/>
        <w:gridCol w:w="4962"/>
      </w:tblGrid>
      <w:tr w:rsidR="00260AA8" w:rsidRPr="00334F18" w14:paraId="16A7BC7B" w14:textId="77777777" w:rsidTr="003F3FFF">
        <w:trPr>
          <w:trHeight w:val="538"/>
        </w:trPr>
        <w:tc>
          <w:tcPr>
            <w:tcW w:w="632" w:type="dxa"/>
          </w:tcPr>
          <w:p w14:paraId="4572808D" w14:textId="77777777" w:rsidR="00260AA8" w:rsidRPr="00334F18" w:rsidRDefault="00260AA8" w:rsidP="00D7262F">
            <w:pPr>
              <w:spacing w:line="276" w:lineRule="auto"/>
              <w:rPr>
                <w:rFonts w:eastAsia="Arial"/>
                <w:b/>
                <w:bCs/>
              </w:rPr>
            </w:pPr>
            <w:r w:rsidRPr="00334F18">
              <w:rPr>
                <w:rFonts w:eastAsia="Arial"/>
                <w:b/>
                <w:bCs/>
              </w:rPr>
              <w:t>1.1</w:t>
            </w:r>
          </w:p>
        </w:tc>
        <w:tc>
          <w:tcPr>
            <w:tcW w:w="3899" w:type="dxa"/>
          </w:tcPr>
          <w:p w14:paraId="54BA6EB3" w14:textId="77777777" w:rsidR="00260AA8" w:rsidRPr="00334F18" w:rsidRDefault="00260AA8" w:rsidP="00D7262F">
            <w:pPr>
              <w:spacing w:line="276" w:lineRule="auto"/>
              <w:rPr>
                <w:rFonts w:eastAsia="Arial"/>
                <w:b/>
                <w:bCs/>
              </w:rPr>
            </w:pPr>
            <w:r w:rsidRPr="00334F18">
              <w:rPr>
                <w:rFonts w:eastAsia="Arial"/>
                <w:b/>
                <w:bCs/>
              </w:rPr>
              <w:t>Pareiškėjas/ pareiškėjo atstovas</w:t>
            </w:r>
          </w:p>
        </w:tc>
        <w:tc>
          <w:tcPr>
            <w:tcW w:w="4962" w:type="dxa"/>
          </w:tcPr>
          <w:p w14:paraId="0F359BD4" w14:textId="3A362D27" w:rsidR="00260AA8" w:rsidRPr="00334F18" w:rsidRDefault="00260AA8" w:rsidP="00D7262F">
            <w:pPr>
              <w:tabs>
                <w:tab w:val="left" w:pos="1756"/>
              </w:tabs>
              <w:spacing w:line="276" w:lineRule="auto"/>
              <w:rPr>
                <w:rFonts w:eastAsia="Arial"/>
              </w:rPr>
            </w:pPr>
            <w:r w:rsidRPr="000A178E">
              <w:rPr>
                <w:lang w:eastAsia="lt-LT"/>
              </w:rPr>
              <w:t>UAB „Johnson &amp; Johnson”</w:t>
            </w:r>
          </w:p>
        </w:tc>
      </w:tr>
      <w:tr w:rsidR="00260AA8" w:rsidRPr="00334F18" w14:paraId="101EA148" w14:textId="77777777" w:rsidTr="003F3FFF">
        <w:trPr>
          <w:trHeight w:val="538"/>
        </w:trPr>
        <w:tc>
          <w:tcPr>
            <w:tcW w:w="632" w:type="dxa"/>
          </w:tcPr>
          <w:p w14:paraId="3BF67175" w14:textId="77777777" w:rsidR="00260AA8" w:rsidRPr="00334F18" w:rsidRDefault="00260AA8" w:rsidP="00D7262F">
            <w:pPr>
              <w:spacing w:line="276" w:lineRule="auto"/>
              <w:rPr>
                <w:rFonts w:eastAsia="Arial"/>
                <w:b/>
                <w:bCs/>
              </w:rPr>
            </w:pPr>
            <w:r w:rsidRPr="00334F18">
              <w:rPr>
                <w:rFonts w:eastAsia="Arial"/>
                <w:b/>
                <w:bCs/>
              </w:rPr>
              <w:t>1.2</w:t>
            </w:r>
          </w:p>
        </w:tc>
        <w:tc>
          <w:tcPr>
            <w:tcW w:w="3899" w:type="dxa"/>
          </w:tcPr>
          <w:p w14:paraId="786B66DF" w14:textId="77777777" w:rsidR="00260AA8" w:rsidRPr="00334F18" w:rsidRDefault="00260AA8" w:rsidP="00D7262F">
            <w:pPr>
              <w:spacing w:line="276" w:lineRule="auto"/>
              <w:rPr>
                <w:b/>
                <w:bCs/>
                <w:lang w:eastAsia="lt-LT"/>
              </w:rPr>
            </w:pPr>
            <w:r w:rsidRPr="00334F18">
              <w:rPr>
                <w:b/>
                <w:bCs/>
                <w:lang w:eastAsia="lt-LT"/>
              </w:rPr>
              <w:t xml:space="preserve">Vaistinio preparato registracijos data </w:t>
            </w:r>
          </w:p>
          <w:p w14:paraId="4B568341" w14:textId="77777777" w:rsidR="00260AA8" w:rsidRPr="00334F18" w:rsidRDefault="00260AA8" w:rsidP="00D7262F">
            <w:pPr>
              <w:spacing w:line="276" w:lineRule="auto"/>
              <w:rPr>
                <w:b/>
                <w:bCs/>
                <w:lang w:eastAsia="lt-LT"/>
              </w:rPr>
            </w:pPr>
          </w:p>
        </w:tc>
        <w:tc>
          <w:tcPr>
            <w:tcW w:w="4962" w:type="dxa"/>
          </w:tcPr>
          <w:p w14:paraId="50F63366" w14:textId="14AB6C83" w:rsidR="00260AA8" w:rsidRPr="00CE40BC" w:rsidRDefault="008F5ABA" w:rsidP="00D7262F">
            <w:pPr>
              <w:spacing w:line="276" w:lineRule="auto"/>
              <w:rPr>
                <w:rStyle w:val="Style2"/>
                <w:sz w:val="24"/>
              </w:rPr>
            </w:pPr>
            <w:sdt>
              <w:sdtPr>
                <w:rPr>
                  <w:sz w:val="32"/>
                  <w:lang w:eastAsia="lt-LT"/>
                </w:rPr>
                <w:alias w:val="Nurodykite konkrečią dieną"/>
                <w:tag w:val="Nurodykite pradžios datą"/>
                <w:id w:val="1772196685"/>
                <w:placeholder>
                  <w:docPart w:val="62ED9BE036A6450C9AF0B9C8AC944280"/>
                </w:placeholder>
                <w15:color w:val="FFCC99"/>
                <w:date>
                  <w:dateFormat w:val="yyyy 'm.' MMMM d 'd.'"/>
                  <w:lid w:val="lt-LT"/>
                  <w:storeMappedDataAs w:val="dateTime"/>
                  <w:calendar w:val="gregorian"/>
                </w:date>
              </w:sdtPr>
              <w:sdtEndPr/>
              <w:sdtContent>
                <w:r w:rsidR="00260AA8" w:rsidRPr="00CE40BC">
                  <w:rPr>
                    <w:lang w:eastAsia="lt-LT"/>
                  </w:rPr>
                  <w:t>2014 m. spalio 21 d.</w:t>
                </w:r>
              </w:sdtContent>
            </w:sdt>
          </w:p>
        </w:tc>
      </w:tr>
      <w:tr w:rsidR="00260AA8" w:rsidRPr="00334F18" w14:paraId="3D70E0FA" w14:textId="77777777" w:rsidTr="001F115E">
        <w:trPr>
          <w:trHeight w:val="1643"/>
        </w:trPr>
        <w:tc>
          <w:tcPr>
            <w:tcW w:w="632" w:type="dxa"/>
          </w:tcPr>
          <w:p w14:paraId="021DF6BD" w14:textId="77777777" w:rsidR="00260AA8" w:rsidRPr="00334F18" w:rsidRDefault="00260AA8" w:rsidP="00D7262F">
            <w:pPr>
              <w:spacing w:line="276" w:lineRule="auto"/>
              <w:rPr>
                <w:rFonts w:eastAsia="Arial"/>
                <w:b/>
                <w:bCs/>
              </w:rPr>
            </w:pPr>
            <w:r w:rsidRPr="00334F18">
              <w:rPr>
                <w:rFonts w:eastAsia="Arial"/>
                <w:b/>
                <w:bCs/>
              </w:rPr>
              <w:t>1.3</w:t>
            </w:r>
          </w:p>
        </w:tc>
        <w:tc>
          <w:tcPr>
            <w:tcW w:w="3899" w:type="dxa"/>
          </w:tcPr>
          <w:p w14:paraId="528F713F" w14:textId="77777777" w:rsidR="00260AA8" w:rsidRPr="00334F18" w:rsidRDefault="00260AA8" w:rsidP="00D7262F">
            <w:pPr>
              <w:pStyle w:val="Betarp"/>
              <w:spacing w:line="276" w:lineRule="auto"/>
              <w:rPr>
                <w:rFonts w:ascii="Times New Roman" w:hAnsi="Times New Roman"/>
                <w:b/>
                <w:sz w:val="24"/>
                <w:szCs w:val="24"/>
                <w:shd w:val="clear" w:color="auto" w:fill="FFFFFF"/>
              </w:rPr>
            </w:pPr>
            <w:r w:rsidRPr="00334F18">
              <w:rPr>
                <w:rFonts w:ascii="Times New Roman" w:hAnsi="Times New Roman"/>
                <w:b/>
                <w:sz w:val="24"/>
                <w:szCs w:val="24"/>
              </w:rPr>
              <w:t xml:space="preserve">Vaistinio preparato </w:t>
            </w:r>
            <w:r w:rsidRPr="00334F18">
              <w:rPr>
                <w:rFonts w:ascii="Times New Roman" w:hAnsi="Times New Roman"/>
                <w:b/>
                <w:sz w:val="24"/>
                <w:szCs w:val="24"/>
                <w:shd w:val="clear" w:color="auto" w:fill="FFFFFF"/>
              </w:rPr>
              <w:t>registracijos teisinis pagrindas</w:t>
            </w:r>
          </w:p>
          <w:p w14:paraId="63F86DC1" w14:textId="77777777" w:rsidR="00260AA8" w:rsidRPr="00334F18" w:rsidRDefault="00260AA8" w:rsidP="00D7262F">
            <w:pPr>
              <w:pStyle w:val="Betarp"/>
              <w:spacing w:line="276" w:lineRule="auto"/>
              <w:rPr>
                <w:rFonts w:ascii="Times New Roman" w:hAnsi="Times New Roman"/>
                <w:b/>
                <w:bCs/>
                <w:sz w:val="24"/>
                <w:szCs w:val="24"/>
                <w:lang w:eastAsia="lt-LT"/>
              </w:rPr>
            </w:pPr>
            <w:r w:rsidRPr="00334F18">
              <w:rPr>
                <w:rFonts w:ascii="Times New Roman" w:hAnsi="Times New Roman"/>
                <w:b/>
                <w:sz w:val="24"/>
                <w:szCs w:val="24"/>
                <w:shd w:val="clear" w:color="auto" w:fill="FFFFFF"/>
              </w:rPr>
              <w:t>(</w:t>
            </w:r>
            <w:r w:rsidRPr="00334F18">
              <w:rPr>
                <w:rFonts w:ascii="Times New Roman" w:hAnsi="Times New Roman"/>
                <w:b/>
                <w:sz w:val="24"/>
                <w:szCs w:val="24"/>
              </w:rPr>
              <w:t>Direktyvos 2001/83/EB str.)</w:t>
            </w:r>
          </w:p>
        </w:tc>
        <w:tc>
          <w:tcPr>
            <w:tcW w:w="4962" w:type="dxa"/>
          </w:tcPr>
          <w:p w14:paraId="4C977D39" w14:textId="2854BB3F" w:rsidR="00260AA8" w:rsidRPr="00334F18" w:rsidRDefault="008F5ABA" w:rsidP="00D7262F">
            <w:pPr>
              <w:spacing w:line="276" w:lineRule="auto"/>
            </w:pPr>
            <w:sdt>
              <w:sdtPr>
                <w:rPr>
                  <w:rStyle w:val="Style2"/>
                  <w:sz w:val="24"/>
                </w:rPr>
                <w:id w:val="526292078"/>
                <w15:color w:val="FFCC00"/>
                <w14:checkbox>
                  <w14:checked w14:val="1"/>
                  <w14:checkedState w14:val="2612" w14:font="MS Gothic"/>
                  <w14:uncheckedState w14:val="2610" w14:font="MS Gothic"/>
                </w14:checkbox>
              </w:sdtPr>
              <w:sdtEndPr>
                <w:rPr>
                  <w:rStyle w:val="Style2"/>
                </w:rPr>
              </w:sdtEndPr>
              <w:sdtContent>
                <w:r w:rsidR="00260AA8">
                  <w:rPr>
                    <w:rStyle w:val="Style2"/>
                    <w:rFonts w:ascii="MS Gothic" w:eastAsia="MS Gothic" w:hAnsi="MS Gothic" w:hint="eastAsia"/>
                    <w:sz w:val="24"/>
                  </w:rPr>
                  <w:t>☒</w:t>
                </w:r>
              </w:sdtContent>
            </w:sdt>
            <w:r w:rsidR="00260AA8" w:rsidRPr="00334F18">
              <w:t>8.3 str. (pilna byla, pagrįsta savais tyrimais)</w:t>
            </w:r>
          </w:p>
          <w:p w14:paraId="6AABD410" w14:textId="77777777" w:rsidR="00260AA8" w:rsidRPr="00334F18" w:rsidRDefault="008F5ABA" w:rsidP="00D7262F">
            <w:pPr>
              <w:spacing w:line="276" w:lineRule="auto"/>
            </w:pPr>
            <w:sdt>
              <w:sdtPr>
                <w:rPr>
                  <w:rStyle w:val="Style2"/>
                  <w:sz w:val="24"/>
                </w:rPr>
                <w:id w:val="-1497953736"/>
                <w15:color w:val="FFCC00"/>
                <w14:checkbox>
                  <w14:checked w14:val="0"/>
                  <w14:checkedState w14:val="2612" w14:font="MS Gothic"/>
                  <w14:uncheckedState w14:val="2610" w14:font="MS Gothic"/>
                </w14:checkbox>
              </w:sdtPr>
              <w:sdtEndPr>
                <w:rPr>
                  <w:rStyle w:val="Style2"/>
                </w:rPr>
              </w:sdtEndPr>
              <w:sdtContent>
                <w:r w:rsidR="00260AA8" w:rsidRPr="00334F18">
                  <w:rPr>
                    <w:rStyle w:val="Style2"/>
                    <w:rFonts w:ascii="Segoe UI Symbol" w:eastAsia="MS Gothic" w:hAnsi="Segoe UI Symbol" w:cs="Segoe UI Symbol"/>
                    <w:sz w:val="24"/>
                  </w:rPr>
                  <w:t>☐</w:t>
                </w:r>
              </w:sdtContent>
            </w:sdt>
            <w:r w:rsidR="00260AA8" w:rsidRPr="00334F18">
              <w:t>10 a str. (pripažintas medicininis vartojimas)</w:t>
            </w:r>
          </w:p>
          <w:p w14:paraId="5CF35A47" w14:textId="77777777" w:rsidR="00260AA8" w:rsidRPr="00334F18" w:rsidRDefault="008F5ABA" w:rsidP="00D7262F">
            <w:pPr>
              <w:spacing w:line="276" w:lineRule="auto"/>
            </w:pPr>
            <w:sdt>
              <w:sdtPr>
                <w:rPr>
                  <w:rStyle w:val="Style2"/>
                  <w:sz w:val="24"/>
                </w:rPr>
                <w:id w:val="204142496"/>
                <w15:color w:val="FFCC00"/>
                <w14:checkbox>
                  <w14:checked w14:val="0"/>
                  <w14:checkedState w14:val="2612" w14:font="MS Gothic"/>
                  <w14:uncheckedState w14:val="2610" w14:font="MS Gothic"/>
                </w14:checkbox>
              </w:sdtPr>
              <w:sdtEndPr>
                <w:rPr>
                  <w:rStyle w:val="Style2"/>
                </w:rPr>
              </w:sdtEndPr>
              <w:sdtContent>
                <w:r w:rsidR="00260AA8" w:rsidRPr="00334F18">
                  <w:rPr>
                    <w:rStyle w:val="Style2"/>
                    <w:rFonts w:ascii="Segoe UI Symbol" w:eastAsia="MS Gothic" w:hAnsi="Segoe UI Symbol" w:cs="Segoe UI Symbol"/>
                    <w:sz w:val="24"/>
                  </w:rPr>
                  <w:t>☐</w:t>
                </w:r>
              </w:sdtContent>
            </w:sdt>
            <w:r w:rsidR="00260AA8" w:rsidRPr="00334F18">
              <w:t>10.1 str. (generinis)</w:t>
            </w:r>
          </w:p>
          <w:p w14:paraId="0517A1B2" w14:textId="77777777" w:rsidR="00260AA8" w:rsidRPr="00334F18" w:rsidRDefault="008F5ABA" w:rsidP="00D7262F">
            <w:pPr>
              <w:spacing w:line="276" w:lineRule="auto"/>
            </w:pPr>
            <w:sdt>
              <w:sdtPr>
                <w:rPr>
                  <w:rStyle w:val="Style2"/>
                  <w:sz w:val="24"/>
                </w:rPr>
                <w:id w:val="820305101"/>
                <w15:color w:val="FFCC00"/>
                <w14:checkbox>
                  <w14:checked w14:val="0"/>
                  <w14:checkedState w14:val="2612" w14:font="MS Gothic"/>
                  <w14:uncheckedState w14:val="2610" w14:font="MS Gothic"/>
                </w14:checkbox>
              </w:sdtPr>
              <w:sdtEndPr>
                <w:rPr>
                  <w:rStyle w:val="Style2"/>
                </w:rPr>
              </w:sdtEndPr>
              <w:sdtContent>
                <w:r w:rsidR="00260AA8" w:rsidRPr="00334F18">
                  <w:rPr>
                    <w:rStyle w:val="Style2"/>
                    <w:rFonts w:ascii="Segoe UI Symbol" w:eastAsia="MS Gothic" w:hAnsi="Segoe UI Symbol" w:cs="Segoe UI Symbol"/>
                    <w:sz w:val="24"/>
                  </w:rPr>
                  <w:t>☐</w:t>
                </w:r>
              </w:sdtContent>
            </w:sdt>
            <w:r w:rsidR="00260AA8" w:rsidRPr="00334F18">
              <w:t>10.3 str. (hibridinis)</w:t>
            </w:r>
          </w:p>
          <w:p w14:paraId="0F37DDE0" w14:textId="4FB4A191" w:rsidR="00260AA8" w:rsidRPr="00334F18" w:rsidRDefault="008F5ABA" w:rsidP="00D7262F">
            <w:pPr>
              <w:spacing w:line="276" w:lineRule="auto"/>
            </w:pPr>
            <w:sdt>
              <w:sdtPr>
                <w:rPr>
                  <w:rStyle w:val="Style2"/>
                  <w:sz w:val="24"/>
                </w:rPr>
                <w:id w:val="1800953328"/>
                <w15:color w:val="FFCC00"/>
                <w14:checkbox>
                  <w14:checked w14:val="0"/>
                  <w14:checkedState w14:val="2612" w14:font="MS Gothic"/>
                  <w14:uncheckedState w14:val="2610" w14:font="MS Gothic"/>
                </w14:checkbox>
              </w:sdtPr>
              <w:sdtEndPr>
                <w:rPr>
                  <w:rStyle w:val="Style2"/>
                </w:rPr>
              </w:sdtEndPr>
              <w:sdtContent>
                <w:r w:rsidR="00260AA8">
                  <w:rPr>
                    <w:rStyle w:val="Style2"/>
                    <w:rFonts w:ascii="MS Gothic" w:eastAsia="MS Gothic" w:hAnsi="MS Gothic" w:hint="eastAsia"/>
                    <w:sz w:val="24"/>
                  </w:rPr>
                  <w:t>☐</w:t>
                </w:r>
              </w:sdtContent>
            </w:sdt>
            <w:r w:rsidR="00260AA8" w:rsidRPr="00334F18">
              <w:t>10.4 str. (panašus biologinis)</w:t>
            </w:r>
          </w:p>
          <w:p w14:paraId="7EDB4848" w14:textId="77777777" w:rsidR="00260AA8" w:rsidRPr="00334F18" w:rsidRDefault="00260AA8" w:rsidP="00D7262F">
            <w:pPr>
              <w:spacing w:line="276" w:lineRule="auto"/>
              <w:rPr>
                <w:rStyle w:val="Style2"/>
                <w:sz w:val="24"/>
              </w:rPr>
            </w:pPr>
          </w:p>
        </w:tc>
      </w:tr>
      <w:tr w:rsidR="00260AA8" w:rsidRPr="00334F18" w14:paraId="31641941" w14:textId="77777777" w:rsidTr="003F3FFF">
        <w:trPr>
          <w:trHeight w:val="1011"/>
        </w:trPr>
        <w:tc>
          <w:tcPr>
            <w:tcW w:w="632" w:type="dxa"/>
          </w:tcPr>
          <w:p w14:paraId="2E73A32C" w14:textId="77777777" w:rsidR="00260AA8" w:rsidRPr="00334F18" w:rsidRDefault="00260AA8" w:rsidP="00D7262F">
            <w:pPr>
              <w:spacing w:line="276" w:lineRule="auto"/>
              <w:rPr>
                <w:rFonts w:eastAsia="Arial"/>
                <w:b/>
                <w:bCs/>
              </w:rPr>
            </w:pPr>
            <w:r w:rsidRPr="00334F18">
              <w:rPr>
                <w:rFonts w:eastAsia="Arial"/>
                <w:b/>
              </w:rPr>
              <w:t>1.4</w:t>
            </w:r>
          </w:p>
        </w:tc>
        <w:tc>
          <w:tcPr>
            <w:tcW w:w="3899" w:type="dxa"/>
          </w:tcPr>
          <w:p w14:paraId="2547AC59" w14:textId="77777777" w:rsidR="00260AA8" w:rsidRPr="00334F18" w:rsidRDefault="00260AA8" w:rsidP="00D7262F">
            <w:pPr>
              <w:tabs>
                <w:tab w:val="left" w:pos="284"/>
              </w:tabs>
              <w:spacing w:line="276" w:lineRule="auto"/>
              <w:rPr>
                <w:b/>
                <w:bCs/>
                <w:lang w:eastAsia="lt-LT"/>
              </w:rPr>
            </w:pPr>
            <w:r w:rsidRPr="00334F18">
              <w:rPr>
                <w:b/>
                <w:bCs/>
                <w:lang w:eastAsia="lt-LT"/>
              </w:rPr>
              <w:t>Ar vaistinis preparatas įrašytas į Bendrijos retųjų vaistinių preparatų registrą?</w:t>
            </w:r>
          </w:p>
        </w:tc>
        <w:tc>
          <w:tcPr>
            <w:tcW w:w="4962" w:type="dxa"/>
          </w:tcPr>
          <w:p w14:paraId="49AB923F" w14:textId="3E4FFF7B" w:rsidR="00260AA8" w:rsidRPr="00334F18" w:rsidRDefault="008F5ABA" w:rsidP="00D7262F">
            <w:pPr>
              <w:spacing w:line="276" w:lineRule="auto"/>
            </w:pPr>
            <w:sdt>
              <w:sdtPr>
                <w:rPr>
                  <w:rStyle w:val="Style2"/>
                  <w:sz w:val="24"/>
                </w:rPr>
                <w:id w:val="1190730465"/>
                <w15:color w:val="FFCC00"/>
                <w14:checkbox>
                  <w14:checked w14:val="0"/>
                  <w14:checkedState w14:val="2612" w14:font="MS Gothic"/>
                  <w14:uncheckedState w14:val="2610" w14:font="MS Gothic"/>
                </w14:checkbox>
              </w:sdtPr>
              <w:sdtEndPr>
                <w:rPr>
                  <w:rStyle w:val="Style2"/>
                </w:rPr>
              </w:sdtEndPr>
              <w:sdtContent>
                <w:r w:rsidR="00260AA8">
                  <w:rPr>
                    <w:rStyle w:val="Style2"/>
                    <w:rFonts w:ascii="MS Gothic" w:eastAsia="MS Gothic" w:hAnsi="MS Gothic" w:hint="eastAsia"/>
                    <w:sz w:val="24"/>
                  </w:rPr>
                  <w:t>☐</w:t>
                </w:r>
              </w:sdtContent>
            </w:sdt>
            <w:r w:rsidR="00260AA8" w:rsidRPr="00334F18">
              <w:t xml:space="preserve"> Taip       </w:t>
            </w:r>
            <w:r w:rsidR="00260AA8" w:rsidRPr="00334F18">
              <w:rPr>
                <w:rStyle w:val="Style2"/>
                <w:sz w:val="24"/>
              </w:rPr>
              <w:t xml:space="preserve"> </w:t>
            </w:r>
            <w:sdt>
              <w:sdtPr>
                <w:rPr>
                  <w:rStyle w:val="Style2"/>
                  <w:sz w:val="24"/>
                </w:rPr>
                <w:id w:val="-1760283509"/>
                <w15:color w:val="FFCC00"/>
                <w14:checkbox>
                  <w14:checked w14:val="1"/>
                  <w14:checkedState w14:val="2612" w14:font="MS Gothic"/>
                  <w14:uncheckedState w14:val="2610" w14:font="MS Gothic"/>
                </w14:checkbox>
              </w:sdtPr>
              <w:sdtEndPr>
                <w:rPr>
                  <w:rStyle w:val="Style2"/>
                </w:rPr>
              </w:sdtEndPr>
              <w:sdtContent>
                <w:r w:rsidR="00260AA8">
                  <w:rPr>
                    <w:rStyle w:val="Style2"/>
                    <w:rFonts w:ascii="MS Gothic" w:eastAsia="MS Gothic" w:hAnsi="MS Gothic" w:hint="eastAsia"/>
                    <w:sz w:val="24"/>
                  </w:rPr>
                  <w:t>☒</w:t>
                </w:r>
              </w:sdtContent>
            </w:sdt>
            <w:r w:rsidR="00260AA8" w:rsidRPr="00334F18">
              <w:t xml:space="preserve"> Ne</w:t>
            </w:r>
          </w:p>
          <w:p w14:paraId="56165267" w14:textId="1E08E528" w:rsidR="00260AA8" w:rsidRPr="00334F18" w:rsidRDefault="00260AA8" w:rsidP="00D7262F">
            <w:pPr>
              <w:spacing w:line="276" w:lineRule="auto"/>
              <w:rPr>
                <w:rFonts w:eastAsia="Arial"/>
              </w:rPr>
            </w:pPr>
          </w:p>
        </w:tc>
      </w:tr>
      <w:tr w:rsidR="00260AA8" w:rsidRPr="00334F18" w14:paraId="5E0775EB" w14:textId="77777777" w:rsidTr="003F3FFF">
        <w:trPr>
          <w:trHeight w:val="1011"/>
        </w:trPr>
        <w:tc>
          <w:tcPr>
            <w:tcW w:w="632" w:type="dxa"/>
          </w:tcPr>
          <w:p w14:paraId="6829924D" w14:textId="77777777" w:rsidR="00260AA8" w:rsidRPr="00334F18" w:rsidRDefault="00260AA8" w:rsidP="00D7262F">
            <w:pPr>
              <w:spacing w:line="276" w:lineRule="auto"/>
              <w:rPr>
                <w:rFonts w:eastAsia="Arial"/>
                <w:b/>
              </w:rPr>
            </w:pPr>
            <w:r w:rsidRPr="00334F18">
              <w:rPr>
                <w:rFonts w:eastAsia="Arial"/>
                <w:b/>
                <w:bCs/>
              </w:rPr>
              <w:t>1.5</w:t>
            </w:r>
          </w:p>
        </w:tc>
        <w:tc>
          <w:tcPr>
            <w:tcW w:w="3899" w:type="dxa"/>
          </w:tcPr>
          <w:p w14:paraId="1DDE7CF3" w14:textId="2FF7A402" w:rsidR="00260AA8" w:rsidRPr="00334F18" w:rsidRDefault="00260AA8" w:rsidP="00D7262F">
            <w:pPr>
              <w:tabs>
                <w:tab w:val="left" w:pos="284"/>
              </w:tabs>
              <w:spacing w:line="276" w:lineRule="auto"/>
              <w:rPr>
                <w:b/>
                <w:bCs/>
                <w:lang w:eastAsia="lt-LT"/>
              </w:rPr>
            </w:pPr>
            <w:r w:rsidRPr="00334F18">
              <w:rPr>
                <w:b/>
                <w:bCs/>
                <w:lang w:eastAsia="lt-LT"/>
              </w:rPr>
              <w:t>Ar atliktas bendras klinikinis vertinimas</w:t>
            </w:r>
          </w:p>
          <w:p w14:paraId="0961228D" w14:textId="77777777" w:rsidR="00260AA8" w:rsidRPr="00334F18" w:rsidRDefault="00260AA8" w:rsidP="00D7262F">
            <w:pPr>
              <w:tabs>
                <w:tab w:val="left" w:pos="284"/>
              </w:tabs>
              <w:spacing w:line="276" w:lineRule="auto"/>
              <w:rPr>
                <w:b/>
                <w:bCs/>
                <w:lang w:eastAsia="lt-LT"/>
              </w:rPr>
            </w:pPr>
            <w:r w:rsidRPr="00334F18">
              <w:rPr>
                <w:b/>
                <w:bCs/>
                <w:lang w:eastAsia="lt-LT"/>
              </w:rPr>
              <w:t>(Europos Parlamento ir Tarybos reglamentas (ES) 2021/2282)</w:t>
            </w:r>
          </w:p>
          <w:p w14:paraId="7B6C3C1B" w14:textId="77777777" w:rsidR="00260AA8" w:rsidRPr="00334F18" w:rsidRDefault="00260AA8" w:rsidP="00D7262F">
            <w:pPr>
              <w:tabs>
                <w:tab w:val="left" w:pos="284"/>
              </w:tabs>
              <w:spacing w:line="276" w:lineRule="auto"/>
              <w:rPr>
                <w:b/>
                <w:bCs/>
                <w:lang w:eastAsia="lt-LT"/>
              </w:rPr>
            </w:pPr>
          </w:p>
        </w:tc>
        <w:tc>
          <w:tcPr>
            <w:tcW w:w="4962" w:type="dxa"/>
          </w:tcPr>
          <w:p w14:paraId="024AE31B" w14:textId="5D428604" w:rsidR="00260AA8" w:rsidRPr="00334F18" w:rsidRDefault="008F5ABA" w:rsidP="00D7262F">
            <w:pPr>
              <w:spacing w:line="276" w:lineRule="auto"/>
            </w:pPr>
            <w:sdt>
              <w:sdtPr>
                <w:rPr>
                  <w:rStyle w:val="Style2"/>
                  <w:sz w:val="24"/>
                </w:rPr>
                <w:id w:val="-1171564470"/>
                <w15:color w:val="FFCC00"/>
                <w14:checkbox>
                  <w14:checked w14:val="0"/>
                  <w14:checkedState w14:val="2612" w14:font="MS Gothic"/>
                  <w14:uncheckedState w14:val="2610" w14:font="MS Gothic"/>
                </w14:checkbox>
              </w:sdtPr>
              <w:sdtEndPr>
                <w:rPr>
                  <w:rStyle w:val="Style2"/>
                </w:rPr>
              </w:sdtEndPr>
              <w:sdtContent>
                <w:r w:rsidR="00260AA8" w:rsidRPr="00334F18">
                  <w:rPr>
                    <w:rStyle w:val="Style2"/>
                    <w:rFonts w:ascii="Segoe UI Symbol" w:eastAsia="MS Gothic" w:hAnsi="Segoe UI Symbol" w:cs="Segoe UI Symbol"/>
                    <w:sz w:val="24"/>
                  </w:rPr>
                  <w:t>☐</w:t>
                </w:r>
              </w:sdtContent>
            </w:sdt>
            <w:r w:rsidR="00260AA8" w:rsidRPr="00334F18">
              <w:t xml:space="preserve"> Taip       </w:t>
            </w:r>
            <w:r w:rsidR="00260AA8" w:rsidRPr="00334F18">
              <w:rPr>
                <w:rStyle w:val="Style2"/>
                <w:sz w:val="24"/>
              </w:rPr>
              <w:t xml:space="preserve"> </w:t>
            </w:r>
            <w:sdt>
              <w:sdtPr>
                <w:rPr>
                  <w:rStyle w:val="Style2"/>
                  <w:sz w:val="24"/>
                </w:rPr>
                <w:id w:val="1448122567"/>
                <w15:color w:val="FFCC00"/>
                <w14:checkbox>
                  <w14:checked w14:val="1"/>
                  <w14:checkedState w14:val="2612" w14:font="MS Gothic"/>
                  <w14:uncheckedState w14:val="2610" w14:font="MS Gothic"/>
                </w14:checkbox>
              </w:sdtPr>
              <w:sdtEndPr>
                <w:rPr>
                  <w:rStyle w:val="Style2"/>
                </w:rPr>
              </w:sdtEndPr>
              <w:sdtContent>
                <w:r w:rsidR="00260AA8">
                  <w:rPr>
                    <w:rStyle w:val="Style2"/>
                    <w:rFonts w:ascii="MS Gothic" w:eastAsia="MS Gothic" w:hAnsi="MS Gothic" w:hint="eastAsia"/>
                    <w:sz w:val="24"/>
                  </w:rPr>
                  <w:t>☒</w:t>
                </w:r>
              </w:sdtContent>
            </w:sdt>
            <w:r w:rsidR="00260AA8" w:rsidRPr="00334F18">
              <w:t xml:space="preserve"> Ne</w:t>
            </w:r>
          </w:p>
          <w:p w14:paraId="0DF729B3" w14:textId="564BF058" w:rsidR="00260AA8" w:rsidRPr="00334F18" w:rsidRDefault="00260AA8" w:rsidP="00D7262F">
            <w:pPr>
              <w:spacing w:line="276" w:lineRule="auto"/>
              <w:rPr>
                <w:rStyle w:val="Style2"/>
                <w:sz w:val="24"/>
              </w:rPr>
            </w:pPr>
          </w:p>
        </w:tc>
      </w:tr>
      <w:tr w:rsidR="00260AA8" w:rsidRPr="00334F18" w14:paraId="15E36E93" w14:textId="77777777" w:rsidTr="003F3FFF">
        <w:trPr>
          <w:trHeight w:val="1278"/>
        </w:trPr>
        <w:tc>
          <w:tcPr>
            <w:tcW w:w="632" w:type="dxa"/>
          </w:tcPr>
          <w:p w14:paraId="5F43AA8F" w14:textId="77777777" w:rsidR="00260AA8" w:rsidRPr="00334F18" w:rsidRDefault="00260AA8" w:rsidP="00D7262F">
            <w:pPr>
              <w:spacing w:line="276" w:lineRule="auto"/>
              <w:rPr>
                <w:rFonts w:eastAsia="Arial"/>
                <w:b/>
                <w:bCs/>
              </w:rPr>
            </w:pPr>
            <w:r w:rsidRPr="00334F18">
              <w:rPr>
                <w:rFonts w:eastAsia="Arial"/>
                <w:b/>
                <w:bCs/>
              </w:rPr>
              <w:lastRenderedPageBreak/>
              <w:t>1.6</w:t>
            </w:r>
          </w:p>
        </w:tc>
        <w:tc>
          <w:tcPr>
            <w:tcW w:w="3899" w:type="dxa"/>
          </w:tcPr>
          <w:p w14:paraId="41F32942" w14:textId="77777777" w:rsidR="00260AA8" w:rsidRPr="00334F18" w:rsidRDefault="00260AA8" w:rsidP="00D7262F">
            <w:pPr>
              <w:spacing w:line="276" w:lineRule="auto"/>
              <w:rPr>
                <w:b/>
                <w:bCs/>
                <w:lang w:eastAsia="lt-LT"/>
              </w:rPr>
            </w:pPr>
            <w:r w:rsidRPr="00334F18">
              <w:rPr>
                <w:b/>
                <w:bCs/>
                <w:lang w:eastAsia="lt-LT"/>
              </w:rPr>
              <w:t xml:space="preserve">Teikiama kompensuoti terapinė indikacija </w:t>
            </w:r>
          </w:p>
          <w:p w14:paraId="2882A5BD" w14:textId="77777777" w:rsidR="00260AA8" w:rsidRPr="00334F18" w:rsidRDefault="00260AA8" w:rsidP="00D7262F">
            <w:pPr>
              <w:spacing w:line="276" w:lineRule="auto"/>
              <w:rPr>
                <w:b/>
                <w:bCs/>
                <w:lang w:eastAsia="lt-LT"/>
              </w:rPr>
            </w:pPr>
          </w:p>
          <w:p w14:paraId="371D188E" w14:textId="77777777" w:rsidR="00260AA8" w:rsidRPr="00334F18" w:rsidRDefault="00260AA8" w:rsidP="00D7262F">
            <w:pPr>
              <w:spacing w:line="276" w:lineRule="auto"/>
              <w:rPr>
                <w:b/>
                <w:bCs/>
                <w:lang w:eastAsia="lt-LT"/>
              </w:rPr>
            </w:pPr>
            <w:r w:rsidRPr="00334F18">
              <w:rPr>
                <w:b/>
                <w:bCs/>
                <w:lang w:eastAsia="lt-LT"/>
              </w:rPr>
              <w:t>Kodas pagal TLK-10 AM</w:t>
            </w:r>
          </w:p>
        </w:tc>
        <w:tc>
          <w:tcPr>
            <w:tcW w:w="4962" w:type="dxa"/>
          </w:tcPr>
          <w:p w14:paraId="615C82C9" w14:textId="77777777" w:rsidR="00260AA8" w:rsidRPr="000A178E" w:rsidRDefault="00260AA8" w:rsidP="00D7262F">
            <w:pPr>
              <w:spacing w:line="276" w:lineRule="auto"/>
            </w:pPr>
            <w:r w:rsidRPr="000A178E">
              <w:t>IMBRUVICA derinys su rituksimabu, ciklofosfamidu, doksorubicinu, vinkristinu ir prednizolonu (IMBRUVICA + R-CHOP) kaitaliojant su R-DHAP (arba R-DHAOx) be IMBRUVICA, ir toliau skiriant IMBRUVICA monoterapiją, yra skirtas mantijos ląstelių limfoma (MLL) sergančių ir prieš tai negydytų suaugusių pacientų, kuriems tiktų autologinė kamieninių ląstelių transplantacija (AKLT), gydymui.</w:t>
            </w:r>
          </w:p>
          <w:p w14:paraId="3512401F" w14:textId="77777777" w:rsidR="00260AA8" w:rsidRPr="000A178E" w:rsidRDefault="00260AA8" w:rsidP="00D7262F">
            <w:pPr>
              <w:spacing w:line="276" w:lineRule="auto"/>
            </w:pPr>
          </w:p>
          <w:p w14:paraId="10833DB8" w14:textId="1832BCB5" w:rsidR="00260AA8" w:rsidRPr="00334F18" w:rsidRDefault="00260AA8" w:rsidP="00D7262F">
            <w:pPr>
              <w:spacing w:line="276" w:lineRule="auto"/>
            </w:pPr>
            <w:r w:rsidRPr="000A178E">
              <w:t>TLK-10 AM kodas – C83.1.</w:t>
            </w:r>
          </w:p>
        </w:tc>
      </w:tr>
      <w:tr w:rsidR="00260AA8" w:rsidRPr="00334F18" w14:paraId="01C3C4F5" w14:textId="77777777" w:rsidTr="003F3FFF">
        <w:trPr>
          <w:trHeight w:val="378"/>
        </w:trPr>
        <w:tc>
          <w:tcPr>
            <w:tcW w:w="632" w:type="dxa"/>
          </w:tcPr>
          <w:p w14:paraId="5115AFC1" w14:textId="77777777" w:rsidR="00260AA8" w:rsidRPr="00334F18" w:rsidRDefault="00260AA8" w:rsidP="00D7262F">
            <w:pPr>
              <w:spacing w:line="276" w:lineRule="auto"/>
              <w:rPr>
                <w:rFonts w:eastAsia="Arial"/>
                <w:b/>
                <w:bCs/>
              </w:rPr>
            </w:pPr>
            <w:r w:rsidRPr="00334F18">
              <w:rPr>
                <w:rFonts w:eastAsia="Arial"/>
                <w:b/>
                <w:bCs/>
              </w:rPr>
              <w:t>1.7</w:t>
            </w:r>
          </w:p>
        </w:tc>
        <w:tc>
          <w:tcPr>
            <w:tcW w:w="3899" w:type="dxa"/>
          </w:tcPr>
          <w:p w14:paraId="48045B5A" w14:textId="77777777" w:rsidR="00260AA8" w:rsidRPr="00334F18" w:rsidRDefault="00260AA8" w:rsidP="00D7262F">
            <w:pPr>
              <w:spacing w:line="276" w:lineRule="auto"/>
              <w:rPr>
                <w:b/>
                <w:bCs/>
                <w:u w:val="single"/>
                <w:lang w:eastAsia="lt-LT"/>
              </w:rPr>
            </w:pPr>
            <w:r w:rsidRPr="00334F18">
              <w:rPr>
                <w:b/>
                <w:bCs/>
                <w:lang w:eastAsia="lt-LT"/>
              </w:rPr>
              <w:t xml:space="preserve">Teikiamos skyrimo sąlygos </w:t>
            </w:r>
          </w:p>
        </w:tc>
        <w:tc>
          <w:tcPr>
            <w:tcW w:w="4962" w:type="dxa"/>
          </w:tcPr>
          <w:p w14:paraId="6A31562C" w14:textId="43222FC0" w:rsidR="00260AA8" w:rsidRPr="00334F18" w:rsidRDefault="00260AA8" w:rsidP="00D7262F">
            <w:pPr>
              <w:spacing w:line="276" w:lineRule="auto"/>
              <w:jc w:val="both"/>
            </w:pPr>
            <w:r>
              <w:t>-</w:t>
            </w:r>
          </w:p>
        </w:tc>
      </w:tr>
      <w:tr w:rsidR="00260AA8" w:rsidRPr="00334F18" w14:paraId="3C32C984" w14:textId="77777777" w:rsidTr="003F3FFF">
        <w:trPr>
          <w:trHeight w:val="378"/>
        </w:trPr>
        <w:tc>
          <w:tcPr>
            <w:tcW w:w="632" w:type="dxa"/>
          </w:tcPr>
          <w:p w14:paraId="4E679EDB" w14:textId="77777777" w:rsidR="00260AA8" w:rsidRPr="00334F18" w:rsidRDefault="00260AA8" w:rsidP="00D7262F">
            <w:pPr>
              <w:spacing w:line="276" w:lineRule="auto"/>
              <w:rPr>
                <w:rFonts w:eastAsia="Arial"/>
                <w:b/>
                <w:bCs/>
              </w:rPr>
            </w:pPr>
            <w:r w:rsidRPr="00334F18">
              <w:rPr>
                <w:rFonts w:eastAsia="Arial"/>
                <w:b/>
                <w:bCs/>
              </w:rPr>
              <w:t>1.8</w:t>
            </w:r>
          </w:p>
        </w:tc>
        <w:tc>
          <w:tcPr>
            <w:tcW w:w="3899" w:type="dxa"/>
          </w:tcPr>
          <w:p w14:paraId="784605B5" w14:textId="3A924C79" w:rsidR="00260AA8" w:rsidRPr="00334F18" w:rsidRDefault="00260AA8" w:rsidP="00D7262F">
            <w:pPr>
              <w:spacing w:line="276" w:lineRule="auto"/>
              <w:rPr>
                <w:b/>
                <w:bCs/>
                <w:lang w:eastAsia="lt-LT"/>
              </w:rPr>
            </w:pPr>
            <w:r w:rsidRPr="00334F18">
              <w:rPr>
                <w:b/>
                <w:bCs/>
                <w:lang w:eastAsia="lt-LT"/>
              </w:rPr>
              <w:t>Ekonominė analizė</w:t>
            </w:r>
          </w:p>
        </w:tc>
        <w:tc>
          <w:tcPr>
            <w:tcW w:w="4962" w:type="dxa"/>
          </w:tcPr>
          <w:p w14:paraId="3155F2E8" w14:textId="2A7A3BA0" w:rsidR="00260AA8" w:rsidRPr="00334F18" w:rsidRDefault="008F5ABA" w:rsidP="00D7262F">
            <w:pPr>
              <w:spacing w:line="276" w:lineRule="auto"/>
            </w:pPr>
            <w:sdt>
              <w:sdtPr>
                <w:rPr>
                  <w:rStyle w:val="Style2"/>
                  <w:sz w:val="24"/>
                </w:rPr>
                <w:id w:val="356323367"/>
                <w15:color w:val="FFCC00"/>
                <w14:checkbox>
                  <w14:checked w14:val="1"/>
                  <w14:checkedState w14:val="2612" w14:font="MS Gothic"/>
                  <w14:uncheckedState w14:val="2610" w14:font="MS Gothic"/>
                </w14:checkbox>
              </w:sdtPr>
              <w:sdtEndPr>
                <w:rPr>
                  <w:rStyle w:val="Style2"/>
                </w:rPr>
              </w:sdtEndPr>
              <w:sdtContent>
                <w:r w:rsidR="00260AA8">
                  <w:rPr>
                    <w:rStyle w:val="Style2"/>
                    <w:rFonts w:ascii="MS Gothic" w:eastAsia="MS Gothic" w:hAnsi="MS Gothic" w:hint="eastAsia"/>
                    <w:sz w:val="24"/>
                  </w:rPr>
                  <w:t>☒</w:t>
                </w:r>
              </w:sdtContent>
            </w:sdt>
            <w:r w:rsidR="00260AA8" w:rsidRPr="00334F18">
              <w:t xml:space="preserve"> Kaštų naudingumo analizė</w:t>
            </w:r>
          </w:p>
          <w:p w14:paraId="49547563" w14:textId="0707E1F9" w:rsidR="00260AA8" w:rsidRPr="00334F18" w:rsidRDefault="008F5ABA" w:rsidP="00D7262F">
            <w:pPr>
              <w:spacing w:line="276" w:lineRule="auto"/>
            </w:pPr>
            <w:sdt>
              <w:sdtPr>
                <w:rPr>
                  <w:rStyle w:val="Style2"/>
                  <w:sz w:val="24"/>
                </w:rPr>
                <w:id w:val="-250506580"/>
                <w15:color w:val="FFCC00"/>
                <w14:checkbox>
                  <w14:checked w14:val="0"/>
                  <w14:checkedState w14:val="2612" w14:font="MS Gothic"/>
                  <w14:uncheckedState w14:val="2610" w14:font="MS Gothic"/>
                </w14:checkbox>
              </w:sdtPr>
              <w:sdtEndPr>
                <w:rPr>
                  <w:rStyle w:val="Style2"/>
                </w:rPr>
              </w:sdtEndPr>
              <w:sdtContent>
                <w:r w:rsidR="00260AA8">
                  <w:rPr>
                    <w:rStyle w:val="Style2"/>
                    <w:rFonts w:ascii="MS Gothic" w:eastAsia="MS Gothic" w:hAnsi="MS Gothic" w:hint="eastAsia"/>
                    <w:sz w:val="24"/>
                  </w:rPr>
                  <w:t>☐</w:t>
                </w:r>
              </w:sdtContent>
            </w:sdt>
            <w:r w:rsidR="00260AA8" w:rsidRPr="00334F18">
              <w:t xml:space="preserve"> Kaštų mažinimo analizė</w:t>
            </w:r>
          </w:p>
          <w:p w14:paraId="42039008" w14:textId="5726D9D8" w:rsidR="00260AA8" w:rsidRPr="00334F18" w:rsidRDefault="008F5ABA" w:rsidP="00D7262F">
            <w:pPr>
              <w:spacing w:line="276" w:lineRule="auto"/>
            </w:pPr>
            <w:sdt>
              <w:sdtPr>
                <w:rPr>
                  <w:rStyle w:val="Style2"/>
                  <w:sz w:val="24"/>
                </w:rPr>
                <w:id w:val="-1570647133"/>
                <w15:color w:val="FFCC00"/>
                <w14:checkbox>
                  <w14:checked w14:val="0"/>
                  <w14:checkedState w14:val="2612" w14:font="MS Gothic"/>
                  <w14:uncheckedState w14:val="2610" w14:font="MS Gothic"/>
                </w14:checkbox>
              </w:sdtPr>
              <w:sdtEndPr>
                <w:rPr>
                  <w:rStyle w:val="Style2"/>
                </w:rPr>
              </w:sdtEndPr>
              <w:sdtContent>
                <w:r w:rsidR="00260AA8" w:rsidRPr="00334F18">
                  <w:rPr>
                    <w:rStyle w:val="Style2"/>
                    <w:rFonts w:ascii="Segoe UI Symbol" w:eastAsia="MS Gothic" w:hAnsi="Segoe UI Symbol" w:cs="Segoe UI Symbol"/>
                    <w:sz w:val="24"/>
                  </w:rPr>
                  <w:t>☐</w:t>
                </w:r>
              </w:sdtContent>
            </w:sdt>
            <w:r w:rsidR="00260AA8" w:rsidRPr="00334F18">
              <w:t xml:space="preserve"> Neteikiama</w:t>
            </w:r>
          </w:p>
          <w:p w14:paraId="5DC5A0C1" w14:textId="77777777" w:rsidR="00260AA8" w:rsidRPr="00334F18" w:rsidRDefault="00260AA8" w:rsidP="00D7262F">
            <w:pPr>
              <w:spacing w:line="276" w:lineRule="auto"/>
            </w:pPr>
          </w:p>
          <w:p w14:paraId="4B0FE78C" w14:textId="77777777" w:rsidR="00260AA8" w:rsidRPr="00334F18" w:rsidRDefault="00260AA8" w:rsidP="00D7262F">
            <w:pPr>
              <w:spacing w:line="276" w:lineRule="auto"/>
            </w:pPr>
          </w:p>
        </w:tc>
      </w:tr>
    </w:tbl>
    <w:p w14:paraId="2EB7FD31" w14:textId="5615B363" w:rsidR="007A2B68" w:rsidRPr="00334F18" w:rsidRDefault="00DC261A" w:rsidP="00D7262F">
      <w:pPr>
        <w:pStyle w:val="Sraopastraipa"/>
        <w:tabs>
          <w:tab w:val="left" w:pos="426"/>
        </w:tabs>
        <w:spacing w:line="276" w:lineRule="auto"/>
        <w:ind w:left="0"/>
        <w:jc w:val="center"/>
        <w:rPr>
          <w:b/>
          <w:bCs/>
          <w:caps/>
        </w:rPr>
      </w:pPr>
      <w:r w:rsidRPr="00334F18">
        <w:rPr>
          <w:b/>
          <w:bCs/>
          <w:caps/>
        </w:rPr>
        <w:t>___________________</w:t>
      </w:r>
    </w:p>
    <w:p w14:paraId="73290081" w14:textId="77777777" w:rsidR="007A2B68" w:rsidRPr="00334F18" w:rsidRDefault="007A2B68" w:rsidP="00D7262F">
      <w:pPr>
        <w:spacing w:line="276" w:lineRule="auto"/>
        <w:rPr>
          <w:b/>
          <w:bCs/>
          <w:caps/>
        </w:rPr>
      </w:pPr>
      <w:r w:rsidRPr="00334F18">
        <w:rPr>
          <w:b/>
          <w:bCs/>
          <w:caps/>
        </w:rPr>
        <w:br w:type="page"/>
      </w:r>
    </w:p>
    <w:p w14:paraId="5055E8A8" w14:textId="1FB182B9" w:rsidR="002E6F80" w:rsidRPr="00334F18" w:rsidRDefault="00CC7832" w:rsidP="00D7262F">
      <w:pPr>
        <w:pStyle w:val="Sraopastraipa"/>
        <w:numPr>
          <w:ilvl w:val="0"/>
          <w:numId w:val="12"/>
        </w:numPr>
        <w:tabs>
          <w:tab w:val="left" w:pos="567"/>
        </w:tabs>
        <w:spacing w:line="276" w:lineRule="auto"/>
        <w:ind w:hanging="720"/>
        <w:rPr>
          <w:b/>
          <w:bCs/>
          <w:caps/>
        </w:rPr>
      </w:pPr>
      <w:r w:rsidRPr="00334F18">
        <w:rPr>
          <w:b/>
          <w:bCs/>
          <w:caps/>
        </w:rPr>
        <w:lastRenderedPageBreak/>
        <w:t>Klinikinio vertinimo a</w:t>
      </w:r>
      <w:r w:rsidR="00D4485B" w:rsidRPr="00334F18">
        <w:rPr>
          <w:b/>
          <w:bCs/>
          <w:caps/>
        </w:rPr>
        <w:t>pibendrinimas</w:t>
      </w:r>
    </w:p>
    <w:p w14:paraId="25F89291" w14:textId="77F0B72A" w:rsidR="00D4485B" w:rsidRDefault="00D4485B" w:rsidP="00D7262F">
      <w:pPr>
        <w:pStyle w:val="Sraopastraipa"/>
        <w:tabs>
          <w:tab w:val="left" w:pos="426"/>
        </w:tabs>
        <w:spacing w:line="276" w:lineRule="auto"/>
        <w:ind w:left="0"/>
        <w:rPr>
          <w:b/>
          <w:bCs/>
          <w:caps/>
        </w:rPr>
      </w:pPr>
    </w:p>
    <w:p w14:paraId="209DD0E1" w14:textId="77777777" w:rsidR="00260AA8" w:rsidRDefault="00260AA8" w:rsidP="00D7262F">
      <w:pPr>
        <w:spacing w:line="276" w:lineRule="auto"/>
        <w:ind w:firstLine="567"/>
        <w:jc w:val="both"/>
      </w:pPr>
      <w:r w:rsidRPr="000A178E">
        <w:rPr>
          <w:b/>
          <w:bCs/>
        </w:rPr>
        <w:t>Mantijos ląstelių limfoma (MLL)</w:t>
      </w:r>
      <w:r w:rsidRPr="000A178E">
        <w:t> yra palyginti reta B ląstelių limfomos potipio, ne Hodžkino limfomų grupei priklausanti, sudaranti maždaug 2–10 % visų limfomų, piktybinė liga</w:t>
      </w:r>
      <w:r w:rsidRPr="000A178E">
        <w:rPr>
          <w:b/>
          <w:bCs/>
        </w:rPr>
        <w:t>.</w:t>
      </w:r>
      <w:r w:rsidRPr="000A178E">
        <w:t xml:space="preserve"> Apskaičiuota, kad Europoje vidutinis metinis, pagal amžių standartizuotas MLL sergamumas yra apie 0,45 atvejo 100 000 gyventojų per metus, tačiau Šiaurės Europoje jis sudaro iki 3-4 atvejų 100 000 gyventojų per metus. Dažniau nustatoma vyrams (3:1); vidutinis pacientų amžius diagnozės nustatymo metu yra apie 65-68 metai. Higienos instituto duomenys rodo, kad Lietuvoje kasmet nustatoma iki 50 naujų MLL atvejų. </w:t>
      </w:r>
    </w:p>
    <w:p w14:paraId="61630986" w14:textId="77777777" w:rsidR="00260AA8" w:rsidRPr="000A178E" w:rsidRDefault="00260AA8" w:rsidP="00D7262F">
      <w:pPr>
        <w:tabs>
          <w:tab w:val="num" w:pos="720"/>
        </w:tabs>
        <w:spacing w:line="276" w:lineRule="auto"/>
        <w:ind w:firstLine="567"/>
        <w:jc w:val="both"/>
      </w:pPr>
      <w:r w:rsidRPr="000A178E">
        <w:t>Didelės rizikos MLL histologiniai požymiai yra: blastoidinė arba pleomorfinė morfologija; didelis Ki-67 teigiamų ląstelių procentas (≥30 %, pagal Europos autorius), susijęs su blogesne prognoze (Ki-67 teigiamų ląstelių vertinimas kaulų čiulpuose yra mažiau patikimas, todėl jo nerekomenduojama naudoti prognozei nustatyti.)</w:t>
      </w:r>
    </w:p>
    <w:p w14:paraId="2F7145F4" w14:textId="77777777" w:rsidR="00260AA8" w:rsidRPr="000A178E" w:rsidRDefault="00260AA8" w:rsidP="00D7262F">
      <w:pPr>
        <w:tabs>
          <w:tab w:val="num" w:pos="720"/>
        </w:tabs>
        <w:spacing w:line="276" w:lineRule="auto"/>
        <w:ind w:firstLine="567"/>
        <w:jc w:val="both"/>
      </w:pPr>
      <w:r w:rsidRPr="000A178E">
        <w:tab/>
        <w:t xml:space="preserve">TP53 mutacijos ir 17p chromosomos delecijos nustatomos maždaug: 10–15 % cMLL atvejų; 25 % nnMLL (t.y. ne limfmazgių MLL) atvejų. Šios mutacijos taip pat siejamos su blogesne prognoze. Pacientams, kuriems nustatomos TP53 mutacijos, dažnai, bet ne visada, kartu būna ir kitų didelės rizikos klinikinių ar morfologinių požymių. Pacientams, gydomiems imunochemoterapija, TP53 mutacijos yra stipresnis nepalankus prognostinis veiksnys nei 17p chromosomos delecijos. </w:t>
      </w:r>
    </w:p>
    <w:p w14:paraId="2795672D" w14:textId="77777777" w:rsidR="00260AA8" w:rsidRPr="000A178E" w:rsidRDefault="00260AA8" w:rsidP="00D7262F">
      <w:pPr>
        <w:tabs>
          <w:tab w:val="num" w:pos="720"/>
        </w:tabs>
        <w:spacing w:line="276" w:lineRule="auto"/>
        <w:ind w:firstLine="567"/>
        <w:jc w:val="both"/>
      </w:pPr>
      <w:r w:rsidRPr="000A178E">
        <w:tab/>
        <w:t>BTK, PLCG2, CARD11 ir BCL2 mutacijos kai kuriems pacientams yra pripažinti atsparumo specifinėms taikinių terapijoms mechanizmai.</w:t>
      </w:r>
    </w:p>
    <w:p w14:paraId="29A3F268" w14:textId="77777777" w:rsidR="00260AA8" w:rsidRPr="000A178E" w:rsidRDefault="00260AA8" w:rsidP="00D7262F">
      <w:pPr>
        <w:tabs>
          <w:tab w:val="num" w:pos="720"/>
        </w:tabs>
        <w:spacing w:line="276" w:lineRule="auto"/>
        <w:ind w:firstLine="567"/>
        <w:jc w:val="both"/>
      </w:pPr>
      <w:r w:rsidRPr="000A178E">
        <w:t>Standartinė MLL rizikos klasifikavimo sistema yra </w:t>
      </w:r>
      <w:r w:rsidRPr="000A178E">
        <w:rPr>
          <w:b/>
          <w:bCs/>
        </w:rPr>
        <w:t>MLL tarptautinis prognostinis indeksas (MIPI,</w:t>
      </w:r>
      <w:r w:rsidRPr="000A178E">
        <w:t xml:space="preserve"> angl. </w:t>
      </w:r>
      <w:r w:rsidRPr="000A178E">
        <w:rPr>
          <w:i/>
          <w:iCs/>
        </w:rPr>
        <w:t>Mantle Cell Lymphoma International Prognostic Index</w:t>
      </w:r>
      <w:r w:rsidRPr="000A178E">
        <w:t>).</w:t>
      </w:r>
    </w:p>
    <w:p w14:paraId="11973715" w14:textId="77777777" w:rsidR="00260AA8" w:rsidRPr="000A178E" w:rsidRDefault="00260AA8" w:rsidP="00D7262F">
      <w:pPr>
        <w:tabs>
          <w:tab w:val="num" w:pos="720"/>
        </w:tabs>
        <w:spacing w:line="276" w:lineRule="auto"/>
        <w:ind w:firstLine="567"/>
        <w:jc w:val="both"/>
      </w:pPr>
      <w:r w:rsidRPr="000A178E">
        <w:t>MIPI vertinimui naudojami keturi klinikiniai rodikliai:</w:t>
      </w:r>
    </w:p>
    <w:p w14:paraId="7128D60D" w14:textId="77777777" w:rsidR="00260AA8" w:rsidRPr="000A178E" w:rsidRDefault="00260AA8" w:rsidP="00D7262F">
      <w:pPr>
        <w:numPr>
          <w:ilvl w:val="0"/>
          <w:numId w:val="20"/>
        </w:numPr>
        <w:spacing w:line="276" w:lineRule="auto"/>
        <w:ind w:firstLine="567"/>
        <w:jc w:val="both"/>
      </w:pPr>
      <w:r w:rsidRPr="000A178E">
        <w:t>paciento amžius;</w:t>
      </w:r>
    </w:p>
    <w:p w14:paraId="46A89E1E" w14:textId="77777777" w:rsidR="00260AA8" w:rsidRPr="000A178E" w:rsidRDefault="00260AA8" w:rsidP="00D7262F">
      <w:pPr>
        <w:numPr>
          <w:ilvl w:val="0"/>
          <w:numId w:val="20"/>
        </w:numPr>
        <w:spacing w:line="276" w:lineRule="auto"/>
        <w:ind w:firstLine="567"/>
        <w:jc w:val="both"/>
      </w:pPr>
      <w:r w:rsidRPr="000A178E">
        <w:t xml:space="preserve">funkcinė būklė (angl. </w:t>
      </w:r>
      <w:r w:rsidRPr="000A178E">
        <w:rPr>
          <w:i/>
          <w:iCs/>
        </w:rPr>
        <w:t>performance status</w:t>
      </w:r>
      <w:r w:rsidRPr="000A178E">
        <w:t>);</w:t>
      </w:r>
    </w:p>
    <w:p w14:paraId="4DC6C63B" w14:textId="77777777" w:rsidR="00260AA8" w:rsidRPr="000A178E" w:rsidRDefault="00260AA8" w:rsidP="00D7262F">
      <w:pPr>
        <w:numPr>
          <w:ilvl w:val="0"/>
          <w:numId w:val="20"/>
        </w:numPr>
        <w:spacing w:line="276" w:lineRule="auto"/>
        <w:ind w:firstLine="567"/>
        <w:jc w:val="both"/>
      </w:pPr>
      <w:r w:rsidRPr="000A178E">
        <w:t>serumo LDH (laktatdehidrogenazės) koncentracija;</w:t>
      </w:r>
    </w:p>
    <w:p w14:paraId="5DAF9D66" w14:textId="77777777" w:rsidR="00260AA8" w:rsidRPr="000A178E" w:rsidRDefault="00260AA8" w:rsidP="00D7262F">
      <w:pPr>
        <w:numPr>
          <w:ilvl w:val="0"/>
          <w:numId w:val="20"/>
        </w:numPr>
        <w:spacing w:line="276" w:lineRule="auto"/>
        <w:ind w:firstLine="567"/>
        <w:jc w:val="both"/>
      </w:pPr>
      <w:r w:rsidRPr="000A178E">
        <w:t>leukocitų skaičius.</w:t>
      </w:r>
    </w:p>
    <w:p w14:paraId="35363556" w14:textId="77777777" w:rsidR="00260AA8" w:rsidRPr="000A178E" w:rsidRDefault="00260AA8" w:rsidP="00D7262F">
      <w:pPr>
        <w:tabs>
          <w:tab w:val="num" w:pos="720"/>
        </w:tabs>
        <w:spacing w:line="276" w:lineRule="auto"/>
        <w:ind w:firstLine="567"/>
        <w:jc w:val="both"/>
      </w:pPr>
      <w:r w:rsidRPr="000A178E">
        <w:t>MIPI ir Ki-67 proliferacijos rodiklio derinys vadinamas „kombinuotu MIPI“ (c-MIPI, angl. </w:t>
      </w:r>
      <w:r w:rsidRPr="000A178E">
        <w:rPr>
          <w:i/>
          <w:iCs/>
        </w:rPr>
        <w:t>combined MIPI</w:t>
      </w:r>
      <w:r w:rsidRPr="000A178E">
        <w:t>).</w:t>
      </w:r>
    </w:p>
    <w:p w14:paraId="7BA8F191" w14:textId="77777777" w:rsidR="00260AA8" w:rsidRPr="000A178E" w:rsidRDefault="00260AA8" w:rsidP="00D7262F">
      <w:pPr>
        <w:spacing w:line="276" w:lineRule="auto"/>
        <w:ind w:firstLine="567"/>
        <w:jc w:val="both"/>
      </w:pPr>
      <w:r w:rsidRPr="000A178E">
        <w:t>Fiziškai tinkamiems pacientams iki 65 metų (gydytojo nuožiūra – iki 70 metų) turėtų būti taikoma viena iš šių pirmosios eilės gydymo strategijų, pirmenybę teikiant schemai, į kurią įtrauktas kovalentinis BTK inhibitorius (cBTKi):</w:t>
      </w:r>
    </w:p>
    <w:p w14:paraId="1B4832E7" w14:textId="77777777" w:rsidR="00260AA8" w:rsidRPr="000A178E" w:rsidRDefault="00260AA8" w:rsidP="00D7262F">
      <w:pPr>
        <w:spacing w:line="276" w:lineRule="auto"/>
        <w:ind w:firstLine="567"/>
      </w:pPr>
    </w:p>
    <w:p w14:paraId="3BD578B2" w14:textId="77777777" w:rsidR="00260AA8" w:rsidRPr="000A178E" w:rsidRDefault="00260AA8" w:rsidP="00D7262F">
      <w:pPr>
        <w:pStyle w:val="Sraopastraipa"/>
        <w:numPr>
          <w:ilvl w:val="0"/>
          <w:numId w:val="22"/>
        </w:numPr>
        <w:spacing w:after="160" w:line="276" w:lineRule="auto"/>
        <w:ind w:firstLine="567"/>
      </w:pPr>
      <w:r w:rsidRPr="000A178E">
        <w:t xml:space="preserve">cBTKi pagrįsta strategija: </w:t>
      </w:r>
    </w:p>
    <w:p w14:paraId="07842806" w14:textId="77777777" w:rsidR="00260AA8" w:rsidRPr="000A178E" w:rsidRDefault="00260AA8" w:rsidP="00D7262F">
      <w:pPr>
        <w:spacing w:line="276" w:lineRule="auto"/>
        <w:ind w:firstLine="567"/>
      </w:pPr>
      <w:r w:rsidRPr="000A178E">
        <w:t>R-CHOP + ibrutinibas, kaitaliojamas su R-DHAP arba R-DHAOx indukcijos metu [I, A], po kurios skiriama:</w:t>
      </w:r>
    </w:p>
    <w:p w14:paraId="74001C1C" w14:textId="77777777" w:rsidR="00260AA8" w:rsidRPr="000A178E" w:rsidRDefault="00260AA8" w:rsidP="00D7262F">
      <w:pPr>
        <w:pStyle w:val="Sraopastraipa"/>
        <w:numPr>
          <w:ilvl w:val="0"/>
          <w:numId w:val="21"/>
        </w:numPr>
        <w:spacing w:after="160" w:line="276" w:lineRule="auto"/>
        <w:ind w:firstLine="567"/>
      </w:pPr>
      <w:r w:rsidRPr="000A178E">
        <w:t>2 metų ibrutinibo;</w:t>
      </w:r>
    </w:p>
    <w:p w14:paraId="43434546" w14:textId="77777777" w:rsidR="00260AA8" w:rsidRPr="000A178E" w:rsidRDefault="00260AA8" w:rsidP="00D7262F">
      <w:pPr>
        <w:pStyle w:val="Sraopastraipa"/>
        <w:numPr>
          <w:ilvl w:val="0"/>
          <w:numId w:val="21"/>
        </w:numPr>
        <w:spacing w:after="160" w:line="276" w:lineRule="auto"/>
        <w:ind w:firstLine="567"/>
      </w:pPr>
      <w:r w:rsidRPr="000A178E">
        <w:t>3 metų palaikomojo gydymo rituksimabu. [I, A]</w:t>
      </w:r>
    </w:p>
    <w:p w14:paraId="06C565E0" w14:textId="77777777" w:rsidR="00260AA8" w:rsidRPr="000A178E" w:rsidRDefault="00260AA8" w:rsidP="00D7262F">
      <w:pPr>
        <w:spacing w:line="276" w:lineRule="auto"/>
        <w:ind w:firstLine="567"/>
        <w:jc w:val="both"/>
      </w:pPr>
      <w:r w:rsidRPr="000A178E">
        <w:t>Pirmosios eilės ibrutinibas yra patvirtintas Europos vaistų agentūros, EMA.</w:t>
      </w:r>
      <w:r>
        <w:t xml:space="preserve"> </w:t>
      </w:r>
      <w:r w:rsidRPr="000A178E">
        <w:t>Šiuo metu Lietuvoje pacientams, kuriems planuojama AKLT, indukcijai taikoma 6 chemoimunoterapijos kursai R-hiCHOP alternuojant su R-HDAraC.</w:t>
      </w:r>
    </w:p>
    <w:p w14:paraId="5DE1F4E0" w14:textId="77777777" w:rsidR="00260AA8" w:rsidRPr="000A178E" w:rsidRDefault="00260AA8" w:rsidP="00D7262F">
      <w:pPr>
        <w:spacing w:line="276" w:lineRule="auto"/>
        <w:ind w:firstLine="567"/>
        <w:jc w:val="both"/>
        <w:rPr>
          <w:lang w:eastAsia="lt-LT"/>
        </w:rPr>
      </w:pPr>
      <w:r w:rsidRPr="000A178E">
        <w:rPr>
          <w:lang w:eastAsia="lt-LT"/>
        </w:rPr>
        <w:t xml:space="preserve">Šiuo metu Lietuvoje nėra patvirtinto </w:t>
      </w:r>
      <w:r w:rsidRPr="000A178E">
        <w:rPr>
          <w:rFonts w:eastAsia="Aptos"/>
          <w:lang w:bidi="lt-LT"/>
        </w:rPr>
        <w:t xml:space="preserve">mantijos ląstelių limfomos, MLL, </w:t>
      </w:r>
      <w:r w:rsidRPr="000A178E">
        <w:rPr>
          <w:lang w:eastAsia="lt-LT"/>
        </w:rPr>
        <w:t xml:space="preserve">gydymo aprašo, kuriame būtų nurodyti specifinio gydymo pasirinkimai pacientams atsižvelgiant į TLK-10-AM kodus C83.1 kodą. Jei ibrutinibas būtų kompensuojamas pagal pateiktą terapinę indikaciją, jis būtų </w:t>
      </w:r>
      <w:r w:rsidRPr="000A178E">
        <w:rPr>
          <w:lang w:eastAsia="lt-LT"/>
        </w:rPr>
        <w:lastRenderedPageBreak/>
        <w:t>skiriamas jaunesniems geros sveikatos būklės pacientams ir jiems būtų įmanoma išvengti AKLT po induk</w:t>
      </w:r>
      <w:r>
        <w:rPr>
          <w:lang w:eastAsia="lt-LT"/>
        </w:rPr>
        <w:t>c</w:t>
      </w:r>
      <w:r w:rsidRPr="000A178E">
        <w:rPr>
          <w:lang w:eastAsia="lt-LT"/>
        </w:rPr>
        <w:t xml:space="preserve">ijos gydymo, </w:t>
      </w:r>
      <w:r>
        <w:rPr>
          <w:lang w:eastAsia="lt-LT"/>
        </w:rPr>
        <w:t xml:space="preserve">toliau tęsiant </w:t>
      </w:r>
      <w:r w:rsidRPr="000A178E">
        <w:rPr>
          <w:lang w:eastAsia="lt-LT"/>
        </w:rPr>
        <w:t>palaikom</w:t>
      </w:r>
      <w:r>
        <w:rPr>
          <w:lang w:eastAsia="lt-LT"/>
        </w:rPr>
        <w:t>ąjį</w:t>
      </w:r>
      <w:r w:rsidRPr="000A178E">
        <w:rPr>
          <w:lang w:eastAsia="lt-LT"/>
        </w:rPr>
        <w:t xml:space="preserve"> gydym</w:t>
      </w:r>
      <w:r>
        <w:rPr>
          <w:lang w:eastAsia="lt-LT"/>
        </w:rPr>
        <w:t>ą</w:t>
      </w:r>
      <w:r w:rsidRPr="000A178E">
        <w:rPr>
          <w:lang w:eastAsia="lt-LT"/>
        </w:rPr>
        <w:t xml:space="preserve"> monoterapija ibrutinibu iki 2 metų ir vėliau rituksimabu.</w:t>
      </w:r>
    </w:p>
    <w:p w14:paraId="407C1F8C" w14:textId="39902759" w:rsidR="00260AA8" w:rsidRPr="000A178E" w:rsidRDefault="00260AA8" w:rsidP="00D7262F">
      <w:pPr>
        <w:tabs>
          <w:tab w:val="left" w:pos="426"/>
        </w:tabs>
        <w:spacing w:line="276" w:lineRule="auto"/>
        <w:ind w:firstLine="567"/>
        <w:jc w:val="both"/>
        <w:rPr>
          <w:rFonts w:eastAsia="Arial"/>
          <w:iCs/>
        </w:rPr>
      </w:pPr>
      <w:r>
        <w:rPr>
          <w:rFonts w:eastAsia="Arial"/>
          <w:iCs/>
        </w:rPr>
        <w:t>Detaliai įvertinus pateiktus klinikinius duomenis ir įprastą klinikinę praktiką Lietuvoje, t</w:t>
      </w:r>
      <w:r w:rsidRPr="000A178E">
        <w:rPr>
          <w:rFonts w:eastAsia="Arial"/>
          <w:iCs/>
        </w:rPr>
        <w:t>inkamas palyginamasis gydymas būtų gydymo schema, taikant indukciją R-CHOP, ar R-DHAP</w:t>
      </w:r>
      <w:r>
        <w:rPr>
          <w:rFonts w:eastAsia="Arial"/>
          <w:iCs/>
        </w:rPr>
        <w:t xml:space="preserve"> (arba </w:t>
      </w:r>
      <w:r w:rsidRPr="000A178E">
        <w:rPr>
          <w:i/>
          <w:iCs/>
        </w:rPr>
        <w:t>R-HDAraC</w:t>
      </w:r>
      <w:r>
        <w:rPr>
          <w:i/>
          <w:iCs/>
        </w:rPr>
        <w:t>)</w:t>
      </w:r>
      <w:r w:rsidRPr="000A178E">
        <w:rPr>
          <w:rFonts w:eastAsia="Arial"/>
          <w:iCs/>
        </w:rPr>
        <w:t>, protokolu ir po jos atliekamai autologinei kamieninių ląstelių transplantacijai (AKLT).</w:t>
      </w:r>
    </w:p>
    <w:p w14:paraId="74D32675" w14:textId="77777777" w:rsidR="00260AA8" w:rsidRDefault="00260AA8" w:rsidP="00D7262F">
      <w:pPr>
        <w:spacing w:line="276" w:lineRule="auto"/>
        <w:ind w:firstLine="567"/>
        <w:jc w:val="both"/>
        <w:rPr>
          <w:i/>
          <w:iCs/>
          <w:color w:val="7F7F7F" w:themeColor="text1" w:themeTint="80"/>
        </w:rPr>
      </w:pPr>
    </w:p>
    <w:p w14:paraId="63774638" w14:textId="77777777" w:rsidR="00260AA8" w:rsidRPr="00CE40BC" w:rsidRDefault="00260AA8" w:rsidP="00D7262F">
      <w:pPr>
        <w:spacing w:line="276" w:lineRule="auto"/>
        <w:ind w:firstLine="567"/>
        <w:jc w:val="both"/>
        <w:rPr>
          <w:i/>
          <w:iCs/>
        </w:rPr>
      </w:pPr>
      <w:r w:rsidRPr="00CE40BC">
        <w:rPr>
          <w:i/>
          <w:iCs/>
        </w:rPr>
        <w:t>Tiesioginis palyginimas</w:t>
      </w:r>
    </w:p>
    <w:p w14:paraId="7F1621E9" w14:textId="77777777" w:rsidR="00260AA8" w:rsidRDefault="00260AA8" w:rsidP="00D7262F">
      <w:pPr>
        <w:spacing w:line="276" w:lineRule="auto"/>
        <w:ind w:firstLine="567"/>
        <w:jc w:val="both"/>
      </w:pPr>
      <w:r w:rsidRPr="000A178E">
        <w:t xml:space="preserve">Tyrime TRIANGLE atsitiktine tvarka 870 pacientų, suskirstytų į 3 grupes santykiu 1:1:1. Randomizacija buvo atliekama elektroninėje duomenų kaupimo sistemoje, taikant blokinę randomizaciją ir stratifikaciją pagal tyrimo grupes bei MIPI rizikos grupes, naudojant kompiuteriu sugeneruotus atsitiktinius skaičius su nenuspėjama pradine reikšme (angl. </w:t>
      </w:r>
      <w:r w:rsidRPr="000A178E">
        <w:rPr>
          <w:i/>
          <w:iCs/>
        </w:rPr>
        <w:t>seed</w:t>
      </w:r>
      <w:r w:rsidRPr="000A178E">
        <w:t xml:space="preserve">). </w:t>
      </w:r>
    </w:p>
    <w:p w14:paraId="0F1FD292" w14:textId="77777777" w:rsidR="00260AA8" w:rsidRDefault="00260AA8" w:rsidP="00D7262F">
      <w:pPr>
        <w:spacing w:line="276" w:lineRule="auto"/>
        <w:ind w:firstLine="567"/>
        <w:jc w:val="both"/>
      </w:pPr>
      <w:r>
        <w:t>Pacientai buvo suskirstyti į tris grupes:</w:t>
      </w:r>
    </w:p>
    <w:p w14:paraId="52DDE64E" w14:textId="77777777" w:rsidR="00260AA8" w:rsidRPr="000A178E" w:rsidRDefault="00260AA8" w:rsidP="00D7262F">
      <w:pPr>
        <w:spacing w:line="276" w:lineRule="auto"/>
        <w:ind w:firstLine="567"/>
        <w:jc w:val="both"/>
      </w:pPr>
      <w:r>
        <w:rPr>
          <w:b/>
          <w:bCs/>
        </w:rPr>
        <w:t xml:space="preserve">- </w:t>
      </w:r>
      <w:r w:rsidRPr="000A178E">
        <w:rPr>
          <w:b/>
          <w:bCs/>
        </w:rPr>
        <w:t>Ibrutinibo (I) grupėje (n = 290)</w:t>
      </w:r>
      <w:r w:rsidRPr="000A178E">
        <w:t>: kaip indukcinį gydymą skiriant ibrutinibą po 560 mg per parą (1–19 dienomis) deriniu su R-CHOP trijų 21 dienos ciklų metu (1, 3, 5 ciklų metu) kaitaliojant su R-DHAP trijų 21 dienos ciklų metu (2, 4, 6 ciklų metu), ir po to 2 metus skiriant ibrutinibą po 560 mg per parą;</w:t>
      </w:r>
    </w:p>
    <w:p w14:paraId="25D9322D" w14:textId="77777777" w:rsidR="00260AA8" w:rsidRPr="000A178E" w:rsidRDefault="00260AA8" w:rsidP="00D7262F">
      <w:pPr>
        <w:spacing w:line="276" w:lineRule="auto"/>
        <w:ind w:firstLine="567"/>
        <w:jc w:val="both"/>
      </w:pPr>
      <w:r w:rsidRPr="000A178E">
        <w:t xml:space="preserve">- </w:t>
      </w:r>
      <w:r w:rsidRPr="000A178E">
        <w:rPr>
          <w:b/>
          <w:bCs/>
        </w:rPr>
        <w:t>Ibrutinibo + AKLT (A+I) grupėje (n = 292)</w:t>
      </w:r>
      <w:r w:rsidRPr="000A178E">
        <w:t>: kaip indukcinį gydymą skiriant ibrutinibą po 560 mg per parą (1–19 dieną) deriniu su R-CHOP trijų 21 dienos ciklų metu (1, 3, 5 ciklų metu) kaitaliojant su R-DHAP trijų 21 dienos ciklų metu (2, 4, 6 ciklų metu), paskui skiriant didelių dozių chemoterapiją ir AKLT, o po to 2 metus skiriant ibrutinibą po 560 mg per parą;</w:t>
      </w:r>
    </w:p>
    <w:p w14:paraId="1866BB25" w14:textId="77777777" w:rsidR="00260AA8" w:rsidRPr="000A178E" w:rsidRDefault="00260AA8" w:rsidP="00D7262F">
      <w:pPr>
        <w:spacing w:line="276" w:lineRule="auto"/>
        <w:ind w:firstLine="567"/>
        <w:jc w:val="both"/>
      </w:pPr>
      <w:r w:rsidRPr="000A178E">
        <w:t xml:space="preserve">- </w:t>
      </w:r>
      <w:r w:rsidRPr="000A178E">
        <w:rPr>
          <w:b/>
          <w:bCs/>
        </w:rPr>
        <w:t>AKLT (A) grupėje (n = 288) - kontrolinėje</w:t>
      </w:r>
      <w:r w:rsidRPr="000A178E">
        <w:t>: kaip indukcinį gydymą skiriant R-CHOP trijų 21 dienos ciklų metu (1, 3, 5 ciklų metu) kaitaliojant su R-DHAP trijų 21 dienos ciklų metu (2, 4, 6 ciklų metu), ir po to skiriant didelių dozių chemoterapiją ir AKLT (kontrolinė grupė).</w:t>
      </w:r>
    </w:p>
    <w:p w14:paraId="38264944" w14:textId="77777777" w:rsidR="00260AA8" w:rsidRPr="000A178E" w:rsidRDefault="00260AA8" w:rsidP="00D7262F">
      <w:pPr>
        <w:spacing w:line="276" w:lineRule="auto"/>
        <w:ind w:firstLine="567"/>
        <w:jc w:val="both"/>
      </w:pPr>
    </w:p>
    <w:p w14:paraId="2FD592D7" w14:textId="77777777" w:rsidR="00260AA8" w:rsidRDefault="00260AA8" w:rsidP="00D7262F">
      <w:pPr>
        <w:spacing w:line="276" w:lineRule="auto"/>
        <w:ind w:firstLine="567"/>
        <w:jc w:val="both"/>
      </w:pPr>
      <w:r w:rsidRPr="008841BB">
        <w:rPr>
          <w:i/>
          <w:iCs/>
          <w:u w:val="single"/>
        </w:rPr>
        <w:t>Pirminė vertinamoji baigtis</w:t>
      </w:r>
      <w:r>
        <w:t xml:space="preserve">. </w:t>
      </w:r>
      <w:r w:rsidRPr="00F05973">
        <w:t xml:space="preserve">Pirminės baigties rezultatų analizė parodė, kad 4 metų </w:t>
      </w:r>
      <w:r w:rsidRPr="008841BB">
        <w:rPr>
          <w:b/>
          <w:bCs/>
        </w:rPr>
        <w:t>IBN</w:t>
      </w:r>
      <w:r w:rsidRPr="00F05973">
        <w:t xml:space="preserve"> </w:t>
      </w:r>
      <w:r>
        <w:t>(</w:t>
      </w:r>
      <w:r w:rsidRPr="006613A5">
        <w:rPr>
          <w:i/>
          <w:iCs/>
        </w:rPr>
        <w:t>išgyvenamumas be nesėkmės, IBN, angl.</w:t>
      </w:r>
      <w:r w:rsidRPr="000A178E">
        <w:t> </w:t>
      </w:r>
      <w:r w:rsidRPr="000A178E">
        <w:rPr>
          <w:i/>
          <w:iCs/>
        </w:rPr>
        <w:t>failure-free survival, FFS</w:t>
      </w:r>
      <w:r w:rsidRPr="000A178E">
        <w:t>)</w:t>
      </w:r>
      <w:r>
        <w:t xml:space="preserve"> </w:t>
      </w:r>
      <w:r w:rsidRPr="00F05973">
        <w:t>buvo 81 % (76–86) I grupėje ir 82 % (95 % PI 78–87) A+I grupėje; pagal nuoseklųjį tyrimo planą koreguotas HR buvo 0,86 (vienpusis 98,33 % PI 0,00–1,27; p=0,21). Taigi, A+I grupė nebuvo pranašesnė pagal IBN, lyginant su I grupe. Panašūs rezultatai gauti ir modifikuotoje ITT populiacijoje: nekoreguotas HR buvo 0,92 (vienpusis 98,33 % PI 0,00–1,33; p=0,31). Taip pat A grupės pranašumas prieš I grupę nenustatytas: IBN buvo 81 % (76–86) I grupėje ir 70 % (95 % PI 65–76) A grupėje; pakoreguotas rizikos santykis (HR) buvo 1,45 (vienpusis 98,33 % PI 0,00–2,02; p=0,99) (pav. 6). Post hoc dvipusė analizė (statistinio reikšmingumo riba 3,33 %) parodė I grupės pranašumą prieš A grupę: pakoreguotas HR 0,69 (dvipusis 96,67 % PI 0,45–0,97; p=0,021). Keturių metų IBN buvo 82 % (95 % PI 78–87) A+I grupėje, palyginti su 70 % (65–76) A grupėje; HR 0,63 (vienpusis 98,33 % PI 0,00–0,89; p=0,0026). Taigi, A+I grupė buvo reikšmingai pranašesnė prieš A grupę. Didžiausia nauda stebėta pacientams, kuriems buvo didelė p53 raiška (HR 0,23)</w:t>
      </w:r>
      <w:r>
        <w:t>.</w:t>
      </w:r>
    </w:p>
    <w:p w14:paraId="2F6F137B" w14:textId="77777777" w:rsidR="00260AA8" w:rsidRDefault="00260AA8" w:rsidP="00D7262F">
      <w:pPr>
        <w:spacing w:line="276" w:lineRule="auto"/>
        <w:ind w:firstLine="567"/>
        <w:jc w:val="both"/>
      </w:pPr>
      <w:r w:rsidRPr="008841BB">
        <w:rPr>
          <w:i/>
          <w:iCs/>
          <w:u w:val="single"/>
        </w:rPr>
        <w:t>Ant</w:t>
      </w:r>
      <w:r>
        <w:rPr>
          <w:i/>
          <w:iCs/>
          <w:u w:val="single"/>
        </w:rPr>
        <w:t>r</w:t>
      </w:r>
      <w:r w:rsidRPr="008841BB">
        <w:rPr>
          <w:i/>
          <w:iCs/>
          <w:u w:val="single"/>
        </w:rPr>
        <w:t>inės vertinamosios baigtys</w:t>
      </w:r>
      <w:r>
        <w:t xml:space="preserve">. </w:t>
      </w:r>
      <w:r w:rsidRPr="008841BB">
        <w:t xml:space="preserve">Po 55,4 mėn. medianos stebėjimo laikotarpio 4 metų </w:t>
      </w:r>
      <w:r w:rsidRPr="008841BB">
        <w:rPr>
          <w:b/>
          <w:bCs/>
        </w:rPr>
        <w:t>BI</w:t>
      </w:r>
      <w:r w:rsidRPr="008841BB">
        <w:t xml:space="preserve"> buvo 90 % (87–94) I grupėje, 88 % (84–92) A+I grupėje, 81 % (95 % PI 76–85) A grupėje. Palyginti su A grupe, mirties rizika buvo statistiškai reikšmingai mažesnė tiek I grupėje (HR 0,57; 95 % PI 0,36–0,90; p=0,0019), tiek A+I grupėje (HR 0,59; 95 % PI 0,38–0,92; p=0,0036)</w:t>
      </w:r>
      <w:r>
        <w:t>. V</w:t>
      </w:r>
      <w:r w:rsidRPr="008841BB">
        <w:t xml:space="preserve">ertinant 4 metų duomenis apskaičiuotas </w:t>
      </w:r>
      <w:r w:rsidRPr="008841BB">
        <w:rPr>
          <w:b/>
          <w:bCs/>
        </w:rPr>
        <w:t>IBLP</w:t>
      </w:r>
      <w:r w:rsidRPr="008841BB">
        <w:t xml:space="preserve">: 81 % (77–86) I grupėje, o A+I grupėje buvo 83 % (95 % PI 78–87) (pav. 11). Nekoreguotas HR buvo 0,90 (vienpusis 98,33 % PI 0,00–1,31; vienpusis p=0,28). Nustatytas A+I grupės pranašumas prieš A grupę, HR 0,64 (p=0,0032), A grupės pranašumas prieš I </w:t>
      </w:r>
      <w:r w:rsidRPr="008841BB">
        <w:lastRenderedPageBreak/>
        <w:t>grupę neįrodytas (HR 1,42; p=0,99). Statistiškai reikšmingo skirtumo tarp strategijos su AKLT + ibrutinibu ir be AKLT, bet su ibrutinibu nenustatyta.</w:t>
      </w:r>
    </w:p>
    <w:p w14:paraId="534B1333" w14:textId="77777777" w:rsidR="00260AA8" w:rsidRDefault="00260AA8" w:rsidP="00D7262F">
      <w:pPr>
        <w:spacing w:line="276" w:lineRule="auto"/>
        <w:ind w:firstLine="567"/>
        <w:jc w:val="both"/>
      </w:pPr>
      <w:r>
        <w:t xml:space="preserve">Apibendrinant, tiesioginio palyginimo rezultatus, gydymo strategijos A+I ir I, kuriose ibrutunibas yra vartojamas kartu su chemoimunoterapija (A) yra pranašesnės, nei vien tik AKLT gydymo strategija. Tiesioginio palyginimo vertinimo analizė neparodė A+I strategijos pranašumo prieš I gydymo strategiją. Gydymo ibrutinibu veiksmingumo rezultatai, tiek pirminių, tiek antrinių vertinamųjų baigčių, reikšmingai skiriasi abiejose grupėse, AKLT su ibrutinibu (A+I) ir ibrutinibo be AKLT (I), palyginus su kontroline grupe, AKLT be ibrutinibo (A), ir patvirtina A+I ir I gydymo strategijų veiksmingumą. Tačiau A+I gydymo strategija pasižymi dideliu NR dažniu palyginus su I gydymo strategija. </w:t>
      </w:r>
    </w:p>
    <w:p w14:paraId="022C6A3E" w14:textId="77777777" w:rsidR="00260AA8" w:rsidRPr="000A178E" w:rsidRDefault="00260AA8" w:rsidP="00D7262F">
      <w:pPr>
        <w:spacing w:line="276" w:lineRule="auto"/>
        <w:ind w:firstLine="567"/>
        <w:jc w:val="both"/>
      </w:pPr>
      <w:r>
        <w:t>Atsižvelgiant į palyginamosios analizės rezultatus, ESMO (2026) rekomendacijas ir Lietuvos ekspertų Tarybos išvadą, kad daliai pacientų nebūtinai gali būti taikoma AKLT, I (chemoterapija+ibrutinibas be AKLT) gydymo strategija laikoma tinkamiausia pritaikyti Lietuvos klinikinėje praktikoje.</w:t>
      </w:r>
    </w:p>
    <w:p w14:paraId="48896C93" w14:textId="4AE612DF" w:rsidR="00260AA8" w:rsidRPr="00744D98" w:rsidRDefault="00260AA8" w:rsidP="00D7262F">
      <w:pPr>
        <w:tabs>
          <w:tab w:val="left" w:pos="426"/>
        </w:tabs>
        <w:spacing w:line="276" w:lineRule="auto"/>
        <w:ind w:firstLine="567"/>
        <w:jc w:val="both"/>
        <w:rPr>
          <w:b/>
          <w:lang w:eastAsia="lt-LT"/>
        </w:rPr>
      </w:pPr>
      <w:r w:rsidRPr="00744D98">
        <w:rPr>
          <w:bCs/>
          <w:lang w:eastAsia="lt-LT"/>
        </w:rPr>
        <w:t>Siūlomo kompensuoti vaistinio preparato palyginamasis veiksmingumas yra įvertintas kaip</w:t>
      </w:r>
      <w:r w:rsidRPr="00744D98">
        <w:rPr>
          <w:bCs/>
          <w:i/>
          <w:iCs/>
          <w:lang w:eastAsia="lt-LT"/>
        </w:rPr>
        <w:t xml:space="preserve"> </w:t>
      </w:r>
      <w:r>
        <w:rPr>
          <w:bCs/>
          <w:i/>
          <w:iCs/>
          <w:lang w:eastAsia="lt-LT"/>
        </w:rPr>
        <w:t>didesnis</w:t>
      </w:r>
      <w:r w:rsidRPr="00744D98">
        <w:rPr>
          <w:bCs/>
          <w:lang w:eastAsia="lt-LT"/>
        </w:rPr>
        <w:t xml:space="preserve"> lyginant su įprasta klinikine praktika, t.</w:t>
      </w:r>
      <w:r w:rsidR="00D7262F">
        <w:rPr>
          <w:bCs/>
          <w:lang w:eastAsia="lt-LT"/>
        </w:rPr>
        <w:t xml:space="preserve"> </w:t>
      </w:r>
      <w:r w:rsidRPr="00744D98">
        <w:rPr>
          <w:bCs/>
          <w:lang w:eastAsia="lt-LT"/>
        </w:rPr>
        <w:t>y. a</w:t>
      </w:r>
      <w:r w:rsidRPr="00744D98">
        <w:t>titinka Vaistinių preparatų ir medicinos pagalbos priemonių įrašymo į kompensavimo sąrašus ir jų keitimo tvarkos aprašo, patvirtinto Lietuvos Respublikos sveikatos apsaugos ministro 2002 m. balandžio 5 d. įsakymu Nr. V-159 „Dėl vaistinių preparatų ir medicinos pagalbos priemonių įrašymo į kompensavimo sąrašus ir jų keitimo tvarkos aprašo patvirtinimo“ 29.1.</w:t>
      </w:r>
      <w:r>
        <w:t>1</w:t>
      </w:r>
      <w:r w:rsidRPr="00744D98">
        <w:t xml:space="preserve"> papunktį.</w:t>
      </w:r>
    </w:p>
    <w:p w14:paraId="39C1ADA8" w14:textId="07FD881A" w:rsidR="00AC5129" w:rsidRPr="00334F18" w:rsidRDefault="00AC5129" w:rsidP="00D7262F">
      <w:pPr>
        <w:pStyle w:val="Sraopastraipa"/>
        <w:tabs>
          <w:tab w:val="left" w:pos="426"/>
        </w:tabs>
        <w:spacing w:line="276" w:lineRule="auto"/>
        <w:ind w:left="0"/>
        <w:rPr>
          <w:b/>
          <w:bCs/>
          <w:caps/>
        </w:rPr>
      </w:pPr>
    </w:p>
    <w:p w14:paraId="7DE09EB5" w14:textId="5FA00B0B" w:rsidR="00E03C3F" w:rsidRDefault="00CC7832" w:rsidP="00D7262F">
      <w:pPr>
        <w:pStyle w:val="Sraopastraipa"/>
        <w:numPr>
          <w:ilvl w:val="0"/>
          <w:numId w:val="12"/>
        </w:numPr>
        <w:tabs>
          <w:tab w:val="left" w:pos="567"/>
        </w:tabs>
        <w:spacing w:line="276" w:lineRule="auto"/>
        <w:ind w:hanging="720"/>
        <w:rPr>
          <w:b/>
          <w:bCs/>
          <w:caps/>
        </w:rPr>
      </w:pPr>
      <w:r w:rsidRPr="00334F18">
        <w:rPr>
          <w:b/>
          <w:bCs/>
          <w:caps/>
        </w:rPr>
        <w:t xml:space="preserve">ekonominio vertinimo </w:t>
      </w:r>
      <w:r w:rsidR="002F0E4F" w:rsidRPr="00334F18">
        <w:rPr>
          <w:b/>
          <w:bCs/>
          <w:caps/>
        </w:rPr>
        <w:t>apibendrinimas</w:t>
      </w:r>
    </w:p>
    <w:p w14:paraId="19D48BCD" w14:textId="2C583C57" w:rsidR="00183F54" w:rsidRDefault="00183F54" w:rsidP="00D7262F">
      <w:pPr>
        <w:tabs>
          <w:tab w:val="left" w:pos="567"/>
        </w:tabs>
        <w:spacing w:line="276" w:lineRule="auto"/>
        <w:rPr>
          <w:b/>
          <w:bCs/>
          <w:caps/>
        </w:rPr>
      </w:pPr>
    </w:p>
    <w:p w14:paraId="2FD18554" w14:textId="77777777" w:rsidR="00260AA8" w:rsidRPr="000A178E" w:rsidRDefault="00260AA8" w:rsidP="00D7262F">
      <w:pPr>
        <w:spacing w:line="276" w:lineRule="auto"/>
        <w:ind w:firstLine="567"/>
        <w:jc w:val="both"/>
      </w:pPr>
      <w:r w:rsidRPr="000A178E">
        <w:rPr>
          <w:lang w:eastAsia="lt-LT"/>
        </w:rPr>
        <w:t xml:space="preserve">KNA įtraukiami pacientų populiacijos duomenys remiantis TRIANGLE tyrimu. </w:t>
      </w:r>
      <w:r w:rsidRPr="000A178E">
        <w:rPr>
          <w:iCs/>
        </w:rPr>
        <w:t xml:space="preserve">Atrinkta pacientų populiacija iki tol negydyta, suaugusieji pacientai nuo 18-65 m., pakankamai aktyvūs/sveiki (angl. fit), sergantys patvirtinta histologiškai </w:t>
      </w:r>
      <w:r w:rsidRPr="000A178E">
        <w:t>mantijos ląstelių limfoma</w:t>
      </w:r>
      <w:r w:rsidRPr="000A178E">
        <w:rPr>
          <w:iCs/>
        </w:rPr>
        <w:t xml:space="preserve"> (MLL), pagal Ann-Arbor II-IV stadijos MLL ir tinkami </w:t>
      </w:r>
      <w:r w:rsidRPr="000A178E">
        <w:rPr>
          <w:lang w:eastAsia="lt-LT"/>
        </w:rPr>
        <w:t>autologinei kamieninių ląstelių transplantacijai (</w:t>
      </w:r>
      <w:r w:rsidRPr="000A178E">
        <w:rPr>
          <w:iCs/>
        </w:rPr>
        <w:t>AKLT).</w:t>
      </w:r>
      <w:r w:rsidRPr="000A178E">
        <w:rPr>
          <w:lang w:eastAsia="lt-LT"/>
        </w:rPr>
        <w:t xml:space="preserve"> </w:t>
      </w:r>
      <w:r w:rsidRPr="000A178E">
        <w:t>Įvertinus pagrindinius įtraukimo bei neįtraukimo kriterijus – tyrimo populiacija atitinka egzistuojančią Lietuvoje MLL sergančiųjų ir gydymo indikacijas atitinkančių populiaciją.</w:t>
      </w:r>
    </w:p>
    <w:p w14:paraId="13F4A303" w14:textId="77777777" w:rsidR="00260AA8" w:rsidRPr="000A178E" w:rsidRDefault="00260AA8" w:rsidP="00D7262F">
      <w:pPr>
        <w:spacing w:line="276" w:lineRule="auto"/>
        <w:ind w:firstLine="567"/>
        <w:jc w:val="both"/>
        <w:rPr>
          <w:iCs/>
        </w:rPr>
      </w:pPr>
      <w:r w:rsidRPr="000A178E">
        <w:rPr>
          <w:iCs/>
        </w:rPr>
        <w:t>Remiantis dabartiniu MLL gydymu Lietuvoje KNA įtraukiami TRIANGLE klinikinio tyrimo palyginamieji gydymo būdai, t. y. R-CHOP + I/R-DHAP, po kurio sekė ibrutinibo fiksuotos trukmės gydymas (I grupė), palyginti su R-CHOP/R-DHAP, po kurio sekė AKLT (A grupė);</w:t>
      </w:r>
    </w:p>
    <w:p w14:paraId="2B1E661C" w14:textId="77777777" w:rsidR="00260AA8" w:rsidRPr="000A178E" w:rsidRDefault="00260AA8" w:rsidP="00D7262F">
      <w:pPr>
        <w:spacing w:line="276" w:lineRule="auto"/>
        <w:ind w:firstLine="567"/>
        <w:jc w:val="both"/>
        <w:rPr>
          <w:rStyle w:val="Style2"/>
          <w:iCs/>
          <w:sz w:val="24"/>
        </w:rPr>
      </w:pPr>
      <w:r w:rsidRPr="000A178E">
        <w:rPr>
          <w:rStyle w:val="Style2"/>
          <w:sz w:val="24"/>
        </w:rPr>
        <w:t>Po klinikinio tyrimo pabaigos duomenys KNA ekstrapoliuojami, taikoma 43 m. (viso gyvenimo) laiko perspektyva (vid. pacientų amžius modelio pradžioje – 57 m.). Laikoma, kad vertinamas laikotarpis yra pakankamos trukmės, kad būtų galima įvertinti sveikatai sukuriamą naudą ir kaštus gydant MLL.</w:t>
      </w:r>
    </w:p>
    <w:p w14:paraId="4840069B" w14:textId="7055DAA0" w:rsidR="00260AA8" w:rsidRPr="000A178E" w:rsidRDefault="00260AA8" w:rsidP="00D7262F">
      <w:pPr>
        <w:spacing w:line="276" w:lineRule="auto"/>
        <w:ind w:firstLine="567"/>
        <w:jc w:val="both"/>
        <w:rPr>
          <w:iCs/>
        </w:rPr>
      </w:pPr>
      <w:r w:rsidRPr="000A178E">
        <w:t>KNA taikomas keturių sveikatos būklių (pusiau Markovo, angl. semi-Markov) modelis: 1) išgyvenamumas be ligos paūmėjimo (FF) 1L stadijoje; 2) išgyvenamumas be ligos progresavimo (PF) 2L stadijoje; 3) išgyvenamumas po 2L stadijos (t. y. PPS) ir 4) mirtis.</w:t>
      </w:r>
      <w:r w:rsidRPr="000A178E">
        <w:rPr>
          <w:iCs/>
        </w:rPr>
        <w:t xml:space="preserve"> </w:t>
      </w:r>
      <w:r w:rsidRPr="000A178E">
        <w:t xml:space="preserve">Tarnyba sutinka, kad Pareiškėjo pasirinktas dalinis </w:t>
      </w:r>
      <w:r w:rsidR="00D7262F">
        <w:t>M</w:t>
      </w:r>
      <w:r w:rsidRPr="000A178E">
        <w:t xml:space="preserve">arkovo modelis yra tinkamesnis (nei padalintos kohortos išgyvenamumo), kadangi </w:t>
      </w:r>
      <w:r w:rsidRPr="000A178E">
        <w:rPr>
          <w:rFonts w:eastAsiaTheme="minorHAnsi"/>
        </w:rPr>
        <w:t xml:space="preserve">Markovo modelis esant nebrandiems duomenims leidžia tiksliau įvertinti ilgalaikį BI bei suteikia galimybę įtraukti sekančių eilių gydymo veiksmingumo išorinius šaltinius. </w:t>
      </w:r>
    </w:p>
    <w:p w14:paraId="5B4A3841" w14:textId="77777777" w:rsidR="00260AA8" w:rsidRPr="000A178E" w:rsidRDefault="00260AA8" w:rsidP="00D7262F">
      <w:pPr>
        <w:spacing w:line="276" w:lineRule="auto"/>
        <w:ind w:firstLine="567"/>
        <w:jc w:val="both"/>
      </w:pPr>
      <w:r w:rsidRPr="000A178E">
        <w:t>Pareiškėjas duomenų ekstrapoliacijai taiko standartinius parametrinius išgyvenamumo analizės metodus taikant TRIANGLE (</w:t>
      </w:r>
      <w:r w:rsidRPr="000A178E">
        <w:rPr>
          <w:rStyle w:val="Style2"/>
          <w:sz w:val="24"/>
        </w:rPr>
        <w:t xml:space="preserve">pagrindinio ibrutinibo klinikinio tyrimo) </w:t>
      </w:r>
      <w:r w:rsidRPr="000A178E">
        <w:t>ir RAY-3001 (2L) klinikinių tyrimų duomenis pacientų lygmeniu.</w:t>
      </w:r>
    </w:p>
    <w:p w14:paraId="495D0E8C" w14:textId="77777777" w:rsidR="00260AA8" w:rsidRPr="000A178E" w:rsidRDefault="00260AA8" w:rsidP="00D7262F">
      <w:pPr>
        <w:spacing w:line="276" w:lineRule="auto"/>
        <w:ind w:firstLine="567"/>
        <w:jc w:val="both"/>
      </w:pPr>
      <w:r w:rsidRPr="000A178E">
        <w:rPr>
          <w:lang w:eastAsia="lt-LT"/>
        </w:rPr>
        <w:lastRenderedPageBreak/>
        <w:t>Apibendrinant Pareiškėjo taikomas prielaidas, vertinant efektyvumo skirtumus tarp siūlomo ir palyginamojo gydymo ilgajame laikotarpyje, yra laikomos dalinai pagrįstomis, todėl dalį jų Tarnyba keičia (detalizuojama vertinimo protokolo Prielaidų skiltyje).</w:t>
      </w:r>
    </w:p>
    <w:p w14:paraId="1203F125" w14:textId="77777777" w:rsidR="00260AA8" w:rsidRPr="000A178E" w:rsidRDefault="00260AA8" w:rsidP="00D7262F">
      <w:pPr>
        <w:spacing w:line="276" w:lineRule="auto"/>
        <w:ind w:firstLine="567"/>
        <w:jc w:val="both"/>
      </w:pPr>
      <w:r w:rsidRPr="000A178E">
        <w:t xml:space="preserve">Tarnyba sutinka ir KNA taikomas individualių kreivių parametrinis modeliavimas (atsižvelgiant, į Pareiškėjo pateiktas logaritminę ir </w:t>
      </w:r>
      <w:r w:rsidRPr="000A178E">
        <w:rPr>
          <w:rStyle w:val="Style2"/>
          <w:rFonts w:eastAsia="MS Gothic"/>
          <w:sz w:val="24"/>
        </w:rPr>
        <w:t xml:space="preserve">Schoenfeldo liekanų plokštumas bei statistinį reikšmingumą (p-reikšmė &lt; 0,05; Schoenfeldo statistika: p = 0,0117), laikoma, </w:t>
      </w:r>
      <w:r w:rsidRPr="000A178E">
        <w:t>kad proporcingų rizikų prielaida pažeista).</w:t>
      </w:r>
    </w:p>
    <w:p w14:paraId="3C46DB94" w14:textId="77777777" w:rsidR="00260AA8" w:rsidRPr="000A178E" w:rsidRDefault="00260AA8" w:rsidP="00D7262F">
      <w:pPr>
        <w:spacing w:line="276" w:lineRule="auto"/>
        <w:ind w:firstLine="567"/>
        <w:jc w:val="both"/>
      </w:pPr>
      <w:r w:rsidRPr="000A178E">
        <w:t xml:space="preserve">Laiko iki įvykio duomenų ekstrapoliacijos parametrinių funkcijų parinkimui Pareiškėjas vadovaujasi AIC/BIC statistinių informacinių kriterijų įverčiais bei vizualiu kreivių vertinimu pagal atitiktį KM kreivėms. Siekiant validuoti duomenis ilgalaikėje perspektyvoje Pareiškėjas taiko Jungtinės Karalystės klinicistų teiktas tikėtinas išgyvenamumo be nesėkmės baigtis (IBN koreguota pagal laiko iki įvykio ekstrapoliuotas kreives). Tarnyba laiko, kad Lietuvos MML pacientai atitinka JK pacientų charakteristikas, todėl tai, kad duomenys nėra patvirtinti pagal Lietuvos klinikinę praktiką yra laikoma trūkumu, tačiau neesminiu. </w:t>
      </w:r>
      <w:r w:rsidRPr="000A178E">
        <w:rPr>
          <w:lang w:eastAsia="en-GB"/>
        </w:rPr>
        <w:t>Tarnyba siekiant nustatyti tinkamiausias parametrines ekstrapoliacijas ilguoju laikotarpiu AKLT grupėje atsižvelgia, kad pagal AIC/BIC statistinius informacinius kriterijus didžiausią atitiktį rodančios gompertz ir log-normal parametrinių funkcijų kreivės rodo optimistiškiausius IBN baigčių rezultatus kai tuo tarpu pagal realaus pasaulio duomenis, IBN kreivės rodo pesimistiškiausius rezultatus (tinkamiausia exponential kreivė). Turint omenyje, kad RPD laikomi patikimesniu šaltiniu, kurio Pareiškėjas nepateikė, Tarnyba įprastinėje atvejo analizėje taiko log-normal (šiek tiek pesimistiškesnius rezultatus lemiantis parametrinis skirstinys), kuris buvo tinkamiausias pagal AIC/BIC informacinius kriterijus. Su ibrutinibo gydymo grupėje taikoma eksponential funkcija tarnyba sutinka.</w:t>
      </w:r>
    </w:p>
    <w:p w14:paraId="05628D05" w14:textId="77777777" w:rsidR="00260AA8" w:rsidRPr="000A178E" w:rsidRDefault="00260AA8" w:rsidP="00D7262F">
      <w:pPr>
        <w:spacing w:line="276" w:lineRule="auto"/>
        <w:ind w:firstLine="567"/>
        <w:jc w:val="both"/>
      </w:pPr>
      <w:r w:rsidRPr="000A178E">
        <w:rPr>
          <w:lang w:eastAsia="en-GB"/>
        </w:rPr>
        <w:t xml:space="preserve">Kadangi </w:t>
      </w:r>
      <w:r w:rsidRPr="000A178E">
        <w:t>pagrindinė tyrimo baigtis ir stebėjimo tikslas TRIANGLE tyrime buvo įvertinti 1L PFS / FFS (laiką nuo 1L gydymo pradžios iki pirmo ligos progresavimo arba mirties) ir TRIANGLE yra iš esmės 1L (pirmos eilės) efektyvumo vertinimo tyrimas (ligai progresavus tiriamasis pradedamas stebėti tik dėl bendrojo išgyvenamumo arba mirties dėl ligos, o ne 2L gydymo efektyvumo vertinimo), Tarnyba sutinka ir laikoma, kad antros eilės (2L) progresavimo be ligos atsinaujinimo (PFS) modeliavimui tinkamesnis šaltinis yra</w:t>
      </w:r>
      <w:r w:rsidRPr="000A178E">
        <w:rPr>
          <w:lang w:eastAsia="en-GB"/>
        </w:rPr>
        <w:t xml:space="preserve"> RAY3001 III fazės klinikinis  tyrimas, kuriame buvo tirti pacientai, jau gavę bent vieną ankstesnio gydymo eilę (1 prior line / relapsed/refractory MCL), </w:t>
      </w:r>
      <w:r w:rsidRPr="000A178E">
        <w:t>todėl jo duomenys tiesiogiai reprezentuoja 2L (antros eilės) ibrutinibo efektyvumą (2L PFS).</w:t>
      </w:r>
    </w:p>
    <w:p w14:paraId="30C89A89" w14:textId="77777777" w:rsidR="00260AA8" w:rsidRPr="000A178E" w:rsidRDefault="00260AA8" w:rsidP="00D7262F">
      <w:pPr>
        <w:spacing w:line="276" w:lineRule="auto"/>
        <w:ind w:firstLine="567"/>
        <w:jc w:val="both"/>
      </w:pPr>
      <w:r w:rsidRPr="000A178E">
        <w:t>Pareiškėjas modelyje įtraukia parinktis, jog mirtingumą PFS 2L etape galima įvertinti remiantis dviem šaltiniais – mirtingumu po 1L etapo nesėkmės, gautu iš TRIANGLE tyrimo arba iš išorinio RAY-3001 tyrimo ibrutinibo grupės duomenimis. Abiem atvejais viršutinė riba yra bendrosios populiacijos mirtingumas. Modeliuojant mirtingumą po pirmos eilės progresavimo, Tarnyba vertina, kad TRIANGLE tyrimo duomenys yra tinkamesni nei RAY3001 klinikinio tyrimo: modelyje yra išlaikoma vidinė logika (nuoseklumas), kadangi paraiškoje modeliuojamas visas paciento kelias pradedant nuo 1L (jei vertinama pirmos eilės paraiška) arba lyginami 1L strategijų baigtys, yra tikslinga taikyti to paties 1L tyrimo (TRIANGLE) po-progresavimo mirtingumo įvestis. Tai leidžia užtikrinti, kad prielaidos apie paciento išgyvenamumą po nesėkmės būtų tiesiogiai susietos su 1L kohortos charakteristikomis. Dėl šių priežasčių, Tarnyba modelyje įprastinėje atvejo analizėje taiko TRIANGLE (2L/3L+) duomenis, o RAY3001 mirtingumo šaltinis (kurį Pareiškėjas taiko įprastinėje atvejo analizėje) vertinamas jautrumo analizėje.</w:t>
      </w:r>
    </w:p>
    <w:p w14:paraId="1ADD4992" w14:textId="77777777" w:rsidR="00260AA8" w:rsidRPr="000A178E" w:rsidRDefault="00260AA8" w:rsidP="00D7262F">
      <w:pPr>
        <w:spacing w:line="276" w:lineRule="auto"/>
        <w:ind w:firstLine="567"/>
        <w:jc w:val="both"/>
      </w:pPr>
      <w:r w:rsidRPr="000A178E">
        <w:t xml:space="preserve">Po-progresavimo mirtingumo (angl. Post-Failure Mortality (PF / PD </w:t>
      </w:r>
      <w:r w:rsidRPr="000A178E">
        <w:rPr>
          <w:rStyle w:val="math-inline"/>
        </w:rPr>
        <w:t>-&gt;</w:t>
      </w:r>
      <w:r w:rsidRPr="000A178E">
        <w:t xml:space="preserve">Death)) duomenų ekstrapoliacijai taikomas </w:t>
      </w:r>
      <w:r w:rsidRPr="000A178E">
        <w:rPr>
          <w:bCs/>
        </w:rPr>
        <w:t>Log-normal skirstinys (kuriam būdinga kintanti rizika)</w:t>
      </w:r>
      <w:r w:rsidRPr="000A178E">
        <w:t xml:space="preserve">. Perėjimas nuo </w:t>
      </w:r>
      <w:r w:rsidRPr="000A178E">
        <w:rPr>
          <w:iCs/>
        </w:rPr>
        <w:t>Exponential</w:t>
      </w:r>
      <w:r w:rsidRPr="000A178E">
        <w:t xml:space="preserve"> prie </w:t>
      </w:r>
      <w:r w:rsidRPr="000A178E">
        <w:rPr>
          <w:iCs/>
        </w:rPr>
        <w:t>Log-normal</w:t>
      </w:r>
      <w:r w:rsidRPr="000A178E">
        <w:t xml:space="preserve"> šiame etape yra laikomas pagrįstu, kadangi po ligos progresavimo </w:t>
      </w:r>
      <w:r w:rsidRPr="000A178E">
        <w:lastRenderedPageBreak/>
        <w:t>(PF/PD būklėje) paciento mirties rizika nėra pastovi: 1) Pirmaisiais mėnesiais po progresavimo rizika mirti stipriai išauga (dėl agresyvaus ligos atkryčio); 2) Vėliau, pritaikius sėkmingą gelbėjamosios terapijos (2L/3L+) kursą, rizika laikinai stabilizuojasi, o vėliau vėl kinta.</w:t>
      </w:r>
    </w:p>
    <w:p w14:paraId="365C2AAD" w14:textId="77777777" w:rsidR="00260AA8" w:rsidRPr="000A178E" w:rsidRDefault="00260AA8" w:rsidP="00D7262F">
      <w:pPr>
        <w:spacing w:line="276" w:lineRule="auto"/>
        <w:ind w:firstLine="567"/>
        <w:jc w:val="both"/>
      </w:pPr>
      <w:r w:rsidRPr="000A178E">
        <w:t xml:space="preserve">Kaštų naudingumo analizėje sveikatai sukuriama nauda buvo vertinama pagal su sveikata susijusią gyvenimo kokybę (angl. </w:t>
      </w:r>
      <w:r w:rsidRPr="000A178E">
        <w:rPr>
          <w:iCs/>
        </w:rPr>
        <w:t xml:space="preserve">Health realated quality of life, </w:t>
      </w:r>
      <w:r w:rsidRPr="000A178E">
        <w:t>HRQoL). Pagrindinio ibrutinibo klinikinio tyrimo (TRIANGLE) metu</w:t>
      </w:r>
      <w:r w:rsidRPr="000A178E">
        <w:rPr>
          <w:iCs/>
          <w:lang w:eastAsia="lt-LT"/>
        </w:rPr>
        <w:t xml:space="preserve"> HRQoL duomenys renkami nebuvo, todėl Pareiškėjas KNA įtraukia gyvenimo kokybės įverčius iš išorinių literatūros šaltinių.</w:t>
      </w:r>
      <w:r w:rsidRPr="000A178E">
        <w:t xml:space="preserve"> </w:t>
      </w:r>
      <w:r w:rsidRPr="000A178E">
        <w:rPr>
          <w:iCs/>
          <w:lang w:eastAsia="lt-LT"/>
        </w:rPr>
        <w:t>Individualių pacientų lygio EQ-5D duomenys buvo nustatyti remiantis SHINE (duomenų rinkimo pabaiga – 2021 m. birželis) ir RAY-3001 (duomenų rinkimo pabaiga – 2015 m. gegužė) tyrimais ir panaudoti kaip TRIANGLE tyrimo pakaitiniai ekonominio efektyvumo modelyje.</w:t>
      </w:r>
      <w:r w:rsidRPr="000A178E">
        <w:t xml:space="preserve"> </w:t>
      </w:r>
      <w:r w:rsidRPr="000A178E">
        <w:rPr>
          <w:iCs/>
          <w:lang w:eastAsia="lt-LT"/>
        </w:rPr>
        <w:t xml:space="preserve">Naudingumo vertės buvo pritaikytos kiekvienai sveikatos būklei ir įvykiui modelyje, siekiant atspindėti paciento gyvenimo kokybę, susijusią su gydymo ir ligos rezultatais. Gyvenimo kokybės įverčiai koreguoti pagal lytį ir amžių, įtraukti su nepageidaujamais reiškiniais susiję gyvenimo kokybės praradimai (angl. </w:t>
      </w:r>
      <w:r w:rsidRPr="000A178E">
        <w:rPr>
          <w:i/>
          <w:iCs/>
          <w:lang w:eastAsia="lt-LT"/>
        </w:rPr>
        <w:t>disutilities</w:t>
      </w:r>
      <w:r w:rsidRPr="000A178E">
        <w:rPr>
          <w:iCs/>
          <w:lang w:eastAsia="lt-LT"/>
        </w:rPr>
        <w:t>). Atsižvelgiant į duomenų trūkumą ir Pareiškėjo atliktą SLA, Tarnyba laiko gyvenimo kokybės įverčius tinkamais.</w:t>
      </w:r>
    </w:p>
    <w:p w14:paraId="08DDF103" w14:textId="09000463" w:rsidR="00260AA8" w:rsidRDefault="00260AA8" w:rsidP="00D7262F">
      <w:pPr>
        <w:spacing w:line="276" w:lineRule="auto"/>
        <w:ind w:firstLine="567"/>
        <w:jc w:val="both"/>
      </w:pPr>
      <w:r w:rsidRPr="000A178E">
        <w:rPr>
          <w:bCs/>
          <w:lang w:eastAsia="lt-LT"/>
        </w:rPr>
        <w:t xml:space="preserve">Apibendrinant KNA įtraukiamus kaštus ir išteklius, Tarnyba vertina, kad </w:t>
      </w:r>
      <w:r w:rsidRPr="000A178E">
        <w:t>įtraukti tiesiogiai su sveikatos sistema susiję kaštai</w:t>
      </w:r>
      <w:r w:rsidRPr="000A178E">
        <w:rPr>
          <w:bCs/>
          <w:lang w:eastAsia="lt-LT"/>
        </w:rPr>
        <w:t xml:space="preserve"> iš </w:t>
      </w:r>
      <w:r w:rsidRPr="000A178E">
        <w:t xml:space="preserve">PSDF biudžeto perspektyvos yra tinkami. Ibrutinibo kaina KNA įtraukta teikiama su nuolaida (su PGS: </w:t>
      </w:r>
      <w:r w:rsidR="00337068">
        <w:t>*****</w:t>
      </w:r>
      <w:r w:rsidRPr="000A178E">
        <w:t xml:space="preserve"> Eur./140 mg, N30 – </w:t>
      </w:r>
      <w:r w:rsidR="00337068">
        <w:t>***</w:t>
      </w:r>
      <w:r w:rsidRPr="000A178E">
        <w:t xml:space="preserve"> proc. nuolaida), palyginamojo gydymo įkainiai įtraukti pagal 2026 m. VLK kainyno įkainius. Brangiųjų paslaugų (CAR-T) įkainiai laikomi apskaičiuotais tinkamai.</w:t>
      </w:r>
    </w:p>
    <w:p w14:paraId="47F56EAE" w14:textId="77777777" w:rsidR="001908D6" w:rsidRDefault="001908D6" w:rsidP="00D7262F">
      <w:pPr>
        <w:spacing w:line="276" w:lineRule="auto"/>
        <w:ind w:firstLine="360"/>
        <w:jc w:val="both"/>
      </w:pPr>
    </w:p>
    <w:p w14:paraId="3336823A" w14:textId="77777777" w:rsidR="001908D6" w:rsidRPr="00AF4CD5" w:rsidRDefault="001908D6" w:rsidP="00D7262F">
      <w:pPr>
        <w:tabs>
          <w:tab w:val="left" w:pos="426"/>
        </w:tabs>
        <w:spacing w:line="276" w:lineRule="auto"/>
        <w:rPr>
          <w:b/>
          <w:lang w:eastAsia="lt-LT"/>
        </w:rPr>
      </w:pPr>
      <w:r w:rsidRPr="00AF4CD5">
        <w:rPr>
          <w:b/>
          <w:lang w:eastAsia="lt-LT"/>
        </w:rPr>
        <w:t>3.1 Ekonominės analizės rezultatas</w:t>
      </w:r>
    </w:p>
    <w:p w14:paraId="4D2EB1A7" w14:textId="77777777" w:rsidR="001908D6" w:rsidRPr="00AF4CD5" w:rsidRDefault="001908D6" w:rsidP="00D7262F">
      <w:pPr>
        <w:tabs>
          <w:tab w:val="left" w:pos="426"/>
        </w:tabs>
        <w:spacing w:line="276" w:lineRule="auto"/>
        <w:rPr>
          <w:b/>
          <w:lang w:eastAsia="lt-LT"/>
        </w:rPr>
      </w:pPr>
    </w:p>
    <w:tbl>
      <w:tblPr>
        <w:tblStyle w:val="Lentelstinklelis1"/>
        <w:tblW w:w="9439"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200"/>
        <w:gridCol w:w="3239"/>
      </w:tblGrid>
      <w:tr w:rsidR="001908D6" w:rsidRPr="00AF4CD5" w14:paraId="3913DEEA" w14:textId="77777777" w:rsidTr="006D2EF8">
        <w:trPr>
          <w:trHeight w:val="344"/>
          <w:jc w:val="center"/>
        </w:trPr>
        <w:tc>
          <w:tcPr>
            <w:tcW w:w="9439" w:type="dxa"/>
            <w:gridSpan w:val="2"/>
            <w:tcBorders>
              <w:top w:val="single" w:sz="12" w:space="0" w:color="auto"/>
              <w:left w:val="single" w:sz="4" w:space="0" w:color="auto"/>
              <w:right w:val="single" w:sz="4" w:space="0" w:color="auto"/>
            </w:tcBorders>
            <w:vAlign w:val="center"/>
          </w:tcPr>
          <w:p w14:paraId="1362318E" w14:textId="77777777" w:rsidR="001908D6" w:rsidRPr="00AF4CD5" w:rsidRDefault="001908D6" w:rsidP="00D7262F">
            <w:pPr>
              <w:tabs>
                <w:tab w:val="left" w:pos="567"/>
              </w:tabs>
              <w:spacing w:line="276" w:lineRule="auto"/>
              <w:jc w:val="center"/>
              <w:rPr>
                <w:b/>
                <w:bCs/>
                <w:sz w:val="26"/>
                <w:szCs w:val="26"/>
                <w:lang w:eastAsia="lt-LT"/>
              </w:rPr>
            </w:pPr>
            <w:r w:rsidRPr="00AF4CD5">
              <w:rPr>
                <w:b/>
                <w:bCs/>
                <w:sz w:val="26"/>
                <w:szCs w:val="26"/>
                <w:lang w:eastAsia="lt-LT"/>
              </w:rPr>
              <w:t>Rezultatai</w:t>
            </w:r>
          </w:p>
        </w:tc>
      </w:tr>
      <w:tr w:rsidR="001908D6" w:rsidRPr="00AF4CD5" w14:paraId="7AF831C1" w14:textId="77777777" w:rsidTr="006D2EF8">
        <w:trPr>
          <w:trHeight w:val="267"/>
          <w:jc w:val="center"/>
        </w:trPr>
        <w:tc>
          <w:tcPr>
            <w:tcW w:w="6200" w:type="dxa"/>
            <w:tcBorders>
              <w:left w:val="single" w:sz="4" w:space="0" w:color="auto"/>
            </w:tcBorders>
          </w:tcPr>
          <w:p w14:paraId="4A5B980A" w14:textId="77777777" w:rsidR="001908D6" w:rsidRPr="00AF4CD5" w:rsidRDefault="001908D6" w:rsidP="00D7262F">
            <w:pPr>
              <w:tabs>
                <w:tab w:val="left" w:pos="567"/>
              </w:tabs>
              <w:spacing w:line="276" w:lineRule="auto"/>
              <w:jc w:val="right"/>
              <w:rPr>
                <w:iCs/>
                <w:lang w:eastAsia="lt-LT"/>
              </w:rPr>
            </w:pPr>
            <w:r w:rsidRPr="00AF4CD5">
              <w:rPr>
                <w:iCs/>
                <w:lang w:eastAsia="lt-LT"/>
              </w:rPr>
              <w:t>Kaštų skirtumas</w:t>
            </w:r>
          </w:p>
        </w:tc>
        <w:tc>
          <w:tcPr>
            <w:tcW w:w="3239" w:type="dxa"/>
            <w:tcBorders>
              <w:right w:val="single" w:sz="4" w:space="0" w:color="auto"/>
            </w:tcBorders>
          </w:tcPr>
          <w:p w14:paraId="36E49A17" w14:textId="2630842E" w:rsidR="001908D6" w:rsidRPr="001908D6" w:rsidRDefault="00C02715" w:rsidP="00D7262F">
            <w:pPr>
              <w:tabs>
                <w:tab w:val="left" w:pos="567"/>
              </w:tabs>
              <w:spacing w:line="276" w:lineRule="auto"/>
              <w:jc w:val="both"/>
              <w:rPr>
                <w:iCs/>
                <w:highlight w:val="yellow"/>
                <w:lang w:eastAsia="lt-LT"/>
              </w:rPr>
            </w:pPr>
            <w:r>
              <w:t>*****</w:t>
            </w:r>
          </w:p>
        </w:tc>
      </w:tr>
      <w:tr w:rsidR="001908D6" w:rsidRPr="00AF4CD5" w14:paraId="255780EB" w14:textId="77777777" w:rsidTr="006D2EF8">
        <w:trPr>
          <w:trHeight w:val="267"/>
          <w:jc w:val="center"/>
        </w:trPr>
        <w:tc>
          <w:tcPr>
            <w:tcW w:w="6200" w:type="dxa"/>
            <w:tcBorders>
              <w:left w:val="single" w:sz="4" w:space="0" w:color="auto"/>
            </w:tcBorders>
          </w:tcPr>
          <w:p w14:paraId="1E99AB4E" w14:textId="77777777" w:rsidR="001908D6" w:rsidRPr="00AF4CD5" w:rsidRDefault="001908D6" w:rsidP="00D7262F">
            <w:pPr>
              <w:tabs>
                <w:tab w:val="left" w:pos="567"/>
              </w:tabs>
              <w:spacing w:line="276" w:lineRule="auto"/>
              <w:jc w:val="right"/>
              <w:rPr>
                <w:iCs/>
                <w:lang w:eastAsia="lt-LT"/>
              </w:rPr>
            </w:pPr>
            <w:r w:rsidRPr="00AF4CD5">
              <w:rPr>
                <w:iCs/>
                <w:lang w:eastAsia="lt-LT"/>
              </w:rPr>
              <w:t>Papildomi gyvenimo metai (LY)</w:t>
            </w:r>
          </w:p>
        </w:tc>
        <w:tc>
          <w:tcPr>
            <w:tcW w:w="3239" w:type="dxa"/>
            <w:tcBorders>
              <w:right w:val="single" w:sz="4" w:space="0" w:color="auto"/>
            </w:tcBorders>
          </w:tcPr>
          <w:p w14:paraId="084DA249" w14:textId="60AC1F94" w:rsidR="001908D6" w:rsidRPr="001908D6" w:rsidRDefault="00C02715" w:rsidP="00D7262F">
            <w:pPr>
              <w:tabs>
                <w:tab w:val="left" w:pos="567"/>
              </w:tabs>
              <w:spacing w:line="276" w:lineRule="auto"/>
              <w:jc w:val="both"/>
              <w:rPr>
                <w:iCs/>
                <w:highlight w:val="yellow"/>
                <w:lang w:eastAsia="lt-LT"/>
              </w:rPr>
            </w:pPr>
            <w:r>
              <w:t>*****</w:t>
            </w:r>
          </w:p>
        </w:tc>
      </w:tr>
      <w:tr w:rsidR="001908D6" w:rsidRPr="00AF4CD5" w14:paraId="391F217D" w14:textId="77777777" w:rsidTr="006D2EF8">
        <w:trPr>
          <w:trHeight w:val="267"/>
          <w:jc w:val="center"/>
        </w:trPr>
        <w:tc>
          <w:tcPr>
            <w:tcW w:w="6200" w:type="dxa"/>
            <w:tcBorders>
              <w:left w:val="single" w:sz="4" w:space="0" w:color="auto"/>
            </w:tcBorders>
          </w:tcPr>
          <w:p w14:paraId="28F98C44" w14:textId="77777777" w:rsidR="001908D6" w:rsidRPr="00AF4CD5" w:rsidRDefault="001908D6" w:rsidP="00D7262F">
            <w:pPr>
              <w:tabs>
                <w:tab w:val="left" w:pos="567"/>
              </w:tabs>
              <w:spacing w:line="276" w:lineRule="auto"/>
              <w:jc w:val="right"/>
              <w:rPr>
                <w:iCs/>
                <w:lang w:eastAsia="lt-LT"/>
              </w:rPr>
            </w:pPr>
            <w:r w:rsidRPr="00AF4CD5">
              <w:rPr>
                <w:iCs/>
                <w:lang w:eastAsia="lt-LT"/>
              </w:rPr>
              <w:t>Papildomi kokybiški gyvenimo metai (QALY)</w:t>
            </w:r>
          </w:p>
        </w:tc>
        <w:tc>
          <w:tcPr>
            <w:tcW w:w="3239" w:type="dxa"/>
            <w:tcBorders>
              <w:right w:val="single" w:sz="4" w:space="0" w:color="auto"/>
            </w:tcBorders>
          </w:tcPr>
          <w:p w14:paraId="0886DED4" w14:textId="472AFFB5" w:rsidR="001908D6" w:rsidRPr="001908D6" w:rsidRDefault="00C02715" w:rsidP="00D7262F">
            <w:pPr>
              <w:tabs>
                <w:tab w:val="left" w:pos="567"/>
              </w:tabs>
              <w:spacing w:line="276" w:lineRule="auto"/>
              <w:jc w:val="both"/>
              <w:rPr>
                <w:iCs/>
                <w:highlight w:val="yellow"/>
                <w:lang w:eastAsia="lt-LT"/>
              </w:rPr>
            </w:pPr>
            <w:r>
              <w:t>*****</w:t>
            </w:r>
          </w:p>
        </w:tc>
      </w:tr>
      <w:tr w:rsidR="001908D6" w:rsidRPr="00AF4CD5" w14:paraId="5161CC3F" w14:textId="77777777" w:rsidTr="006D2EF8">
        <w:trPr>
          <w:trHeight w:val="267"/>
          <w:jc w:val="center"/>
        </w:trPr>
        <w:tc>
          <w:tcPr>
            <w:tcW w:w="6200" w:type="dxa"/>
            <w:tcBorders>
              <w:left w:val="single" w:sz="4" w:space="0" w:color="auto"/>
            </w:tcBorders>
          </w:tcPr>
          <w:p w14:paraId="7A549445" w14:textId="77777777" w:rsidR="001908D6" w:rsidRPr="00AF4CD5" w:rsidRDefault="001908D6" w:rsidP="00D7262F">
            <w:pPr>
              <w:tabs>
                <w:tab w:val="left" w:pos="567"/>
              </w:tabs>
              <w:spacing w:line="276" w:lineRule="auto"/>
              <w:jc w:val="right"/>
              <w:rPr>
                <w:iCs/>
                <w:lang w:eastAsia="lt-LT"/>
              </w:rPr>
            </w:pPr>
            <w:r w:rsidRPr="00AF4CD5">
              <w:rPr>
                <w:iCs/>
                <w:lang w:eastAsia="lt-LT"/>
              </w:rPr>
              <w:t>ICER už LY</w:t>
            </w:r>
          </w:p>
        </w:tc>
        <w:tc>
          <w:tcPr>
            <w:tcW w:w="3239" w:type="dxa"/>
            <w:tcBorders>
              <w:right w:val="single" w:sz="4" w:space="0" w:color="auto"/>
            </w:tcBorders>
          </w:tcPr>
          <w:p w14:paraId="19C90F6F" w14:textId="39A66473" w:rsidR="001908D6" w:rsidRPr="001908D6" w:rsidRDefault="00C02715" w:rsidP="00D7262F">
            <w:pPr>
              <w:tabs>
                <w:tab w:val="left" w:pos="567"/>
              </w:tabs>
              <w:spacing w:line="276" w:lineRule="auto"/>
              <w:jc w:val="both"/>
              <w:rPr>
                <w:iCs/>
                <w:highlight w:val="yellow"/>
                <w:lang w:eastAsia="lt-LT"/>
              </w:rPr>
            </w:pPr>
            <w:r>
              <w:t>*****</w:t>
            </w:r>
            <w:r>
              <w:t xml:space="preserve"> </w:t>
            </w:r>
            <w:r w:rsidR="001908D6" w:rsidRPr="001908D6">
              <w:t>Eur./LY</w:t>
            </w:r>
          </w:p>
        </w:tc>
      </w:tr>
      <w:tr w:rsidR="001908D6" w:rsidRPr="00AF4CD5" w14:paraId="06A3B8EF" w14:textId="77777777" w:rsidTr="006D2EF8">
        <w:trPr>
          <w:trHeight w:val="267"/>
          <w:jc w:val="center"/>
        </w:trPr>
        <w:tc>
          <w:tcPr>
            <w:tcW w:w="6200" w:type="dxa"/>
            <w:tcBorders>
              <w:left w:val="single" w:sz="4" w:space="0" w:color="auto"/>
            </w:tcBorders>
          </w:tcPr>
          <w:p w14:paraId="2FE56C32" w14:textId="77777777" w:rsidR="001908D6" w:rsidRPr="001908D6" w:rsidRDefault="001908D6" w:rsidP="00D7262F">
            <w:pPr>
              <w:tabs>
                <w:tab w:val="left" w:pos="567"/>
              </w:tabs>
              <w:spacing w:line="276" w:lineRule="auto"/>
              <w:jc w:val="right"/>
              <w:rPr>
                <w:b/>
                <w:iCs/>
                <w:lang w:eastAsia="lt-LT"/>
              </w:rPr>
            </w:pPr>
            <w:r w:rsidRPr="001908D6">
              <w:rPr>
                <w:b/>
                <w:iCs/>
                <w:lang w:eastAsia="lt-LT"/>
              </w:rPr>
              <w:t>ICER už QALY</w:t>
            </w:r>
          </w:p>
        </w:tc>
        <w:tc>
          <w:tcPr>
            <w:tcW w:w="3239" w:type="dxa"/>
            <w:tcBorders>
              <w:right w:val="single" w:sz="4" w:space="0" w:color="auto"/>
            </w:tcBorders>
          </w:tcPr>
          <w:p w14:paraId="0F7495CE" w14:textId="3DE29CCE" w:rsidR="001908D6" w:rsidRPr="001908D6" w:rsidRDefault="00C02715" w:rsidP="00D7262F">
            <w:pPr>
              <w:tabs>
                <w:tab w:val="left" w:pos="567"/>
              </w:tabs>
              <w:spacing w:line="276" w:lineRule="auto"/>
              <w:jc w:val="both"/>
              <w:rPr>
                <w:b/>
                <w:i/>
                <w:iCs/>
                <w:highlight w:val="yellow"/>
                <w:lang w:eastAsia="lt-LT"/>
              </w:rPr>
            </w:pPr>
            <w:r>
              <w:t>*****</w:t>
            </w:r>
            <w:r>
              <w:t xml:space="preserve"> </w:t>
            </w:r>
            <w:r w:rsidR="001908D6" w:rsidRPr="001908D6">
              <w:rPr>
                <w:b/>
              </w:rPr>
              <w:t>Eur./QALY</w:t>
            </w:r>
          </w:p>
        </w:tc>
      </w:tr>
      <w:tr w:rsidR="001908D6" w:rsidRPr="00AF4CD5" w14:paraId="5DC1BB5E" w14:textId="77777777" w:rsidTr="006D2EF8">
        <w:trPr>
          <w:trHeight w:val="267"/>
          <w:jc w:val="center"/>
        </w:trPr>
        <w:tc>
          <w:tcPr>
            <w:tcW w:w="6200" w:type="dxa"/>
            <w:tcBorders>
              <w:left w:val="single" w:sz="4" w:space="0" w:color="auto"/>
              <w:bottom w:val="single" w:sz="4" w:space="0" w:color="auto"/>
              <w:right w:val="single" w:sz="4" w:space="0" w:color="auto"/>
            </w:tcBorders>
          </w:tcPr>
          <w:p w14:paraId="51FA6C09" w14:textId="77777777" w:rsidR="001908D6" w:rsidRPr="00AF4CD5" w:rsidRDefault="001908D6" w:rsidP="00D7262F">
            <w:pPr>
              <w:tabs>
                <w:tab w:val="left" w:pos="567"/>
              </w:tabs>
              <w:spacing w:line="276" w:lineRule="auto"/>
              <w:jc w:val="right"/>
              <w:rPr>
                <w:iCs/>
                <w:lang w:eastAsia="lt-LT"/>
              </w:rPr>
            </w:pPr>
            <w:r w:rsidRPr="00AF4CD5">
              <w:rPr>
                <w:iCs/>
                <w:lang w:eastAsia="lt-LT"/>
              </w:rPr>
              <w:t>Referencinė kaštų naudingumo vertė</w:t>
            </w:r>
          </w:p>
        </w:tc>
        <w:tc>
          <w:tcPr>
            <w:tcW w:w="3239" w:type="dxa"/>
            <w:tcBorders>
              <w:left w:val="single" w:sz="4" w:space="0" w:color="auto"/>
              <w:bottom w:val="single" w:sz="4" w:space="0" w:color="auto"/>
              <w:right w:val="single" w:sz="4" w:space="0" w:color="auto"/>
            </w:tcBorders>
          </w:tcPr>
          <w:p w14:paraId="0F0F6C7D" w14:textId="5901B2A4" w:rsidR="001908D6" w:rsidRPr="001908D6" w:rsidRDefault="00C02715" w:rsidP="00D7262F">
            <w:pPr>
              <w:tabs>
                <w:tab w:val="left" w:pos="567"/>
              </w:tabs>
              <w:spacing w:line="276" w:lineRule="auto"/>
              <w:jc w:val="both"/>
              <w:rPr>
                <w:i/>
                <w:iCs/>
                <w:highlight w:val="yellow"/>
                <w:lang w:eastAsia="lt-LT"/>
              </w:rPr>
            </w:pPr>
            <w:r>
              <w:t>*****</w:t>
            </w:r>
            <w:r>
              <w:t xml:space="preserve"> </w:t>
            </w:r>
            <w:r w:rsidR="001908D6" w:rsidRPr="001908D6">
              <w:rPr>
                <w:i/>
                <w:iCs/>
              </w:rPr>
              <w:t>Eur.</w:t>
            </w:r>
          </w:p>
        </w:tc>
      </w:tr>
    </w:tbl>
    <w:p w14:paraId="6C3DFBAF" w14:textId="77777777" w:rsidR="001908D6" w:rsidRPr="00AF4CD5" w:rsidRDefault="001908D6" w:rsidP="00D7262F">
      <w:pPr>
        <w:tabs>
          <w:tab w:val="left" w:pos="567"/>
        </w:tabs>
        <w:spacing w:line="276" w:lineRule="auto"/>
        <w:jc w:val="both"/>
        <w:rPr>
          <w:iCs/>
          <w:sz w:val="20"/>
          <w:lang w:eastAsia="lt-LT"/>
        </w:rPr>
      </w:pPr>
      <w:r w:rsidRPr="00AF4CD5">
        <w:rPr>
          <w:iCs/>
          <w:sz w:val="20"/>
          <w:lang w:eastAsia="lt-LT"/>
        </w:rPr>
        <w:t>ICER – (</w:t>
      </w:r>
      <w:r w:rsidRPr="00AF4CD5">
        <w:rPr>
          <w:i/>
          <w:sz w:val="20"/>
          <w:lang w:eastAsia="lt-LT"/>
        </w:rPr>
        <w:t>angl. incremental cost-effectiveness ratio</w:t>
      </w:r>
      <w:r w:rsidRPr="00AF4CD5">
        <w:rPr>
          <w:iCs/>
          <w:sz w:val="20"/>
          <w:lang w:eastAsia="lt-LT"/>
        </w:rPr>
        <w:t>) inkrementinis kaštų naudingumo koeficientas; LY – (</w:t>
      </w:r>
      <w:r w:rsidRPr="00AF4CD5">
        <w:rPr>
          <w:i/>
          <w:sz w:val="20"/>
          <w:lang w:eastAsia="lt-LT"/>
        </w:rPr>
        <w:t>angl. life years</w:t>
      </w:r>
      <w:r w:rsidRPr="00AF4CD5">
        <w:rPr>
          <w:iCs/>
          <w:sz w:val="20"/>
          <w:lang w:eastAsia="lt-LT"/>
        </w:rPr>
        <w:t>) gyvenimo metai; QALY- (</w:t>
      </w:r>
      <w:r w:rsidRPr="00AF4CD5">
        <w:rPr>
          <w:i/>
          <w:sz w:val="20"/>
          <w:lang w:eastAsia="lt-LT"/>
        </w:rPr>
        <w:t xml:space="preserve">angl. quality adjusted life years) </w:t>
      </w:r>
      <w:r w:rsidRPr="00AF4CD5">
        <w:rPr>
          <w:iCs/>
          <w:sz w:val="20"/>
          <w:lang w:eastAsia="lt-LT"/>
        </w:rPr>
        <w:t>kokybiški gyvenimo metai.</w:t>
      </w:r>
    </w:p>
    <w:p w14:paraId="56142EF6" w14:textId="77777777" w:rsidR="001908D6" w:rsidRPr="000A178E" w:rsidRDefault="001908D6" w:rsidP="00D7262F">
      <w:pPr>
        <w:spacing w:line="276" w:lineRule="auto"/>
        <w:ind w:firstLine="360"/>
        <w:jc w:val="both"/>
      </w:pPr>
    </w:p>
    <w:p w14:paraId="4573C27A" w14:textId="33B32D54" w:rsidR="00260AA8" w:rsidRPr="000A178E" w:rsidRDefault="00260AA8" w:rsidP="00D7262F">
      <w:pPr>
        <w:spacing w:line="276" w:lineRule="auto"/>
        <w:ind w:firstLine="567"/>
        <w:jc w:val="both"/>
        <w:rPr>
          <w:lang w:eastAsia="lt-LT"/>
        </w:rPr>
      </w:pPr>
      <w:r w:rsidRPr="000A178E">
        <w:rPr>
          <w:rFonts w:eastAsia="Arial"/>
        </w:rPr>
        <w:t xml:space="preserve">Pagal ekonominės analizės rezultatus ibrutinibą skiriant </w:t>
      </w:r>
      <w:r w:rsidRPr="000A178E">
        <w:t>derinyje su rituksimabu, ciklofosfamidu, doksorubicinu, vinkristinu ir prednizolonu (IMBRUVICA + R-CHOP) kaitaliojant su R-DHAP (arba R-DHAOx) be IMBRUVICA ir toliau skiriant IMBRUVICA monoterapiją lyginant</w:t>
      </w:r>
      <w:r w:rsidRPr="000A178E">
        <w:rPr>
          <w:rFonts w:eastAsia="Arial"/>
        </w:rPr>
        <w:t xml:space="preserve"> su įprastu gydymu (</w:t>
      </w:r>
      <w:r w:rsidRPr="000A178E">
        <w:rPr>
          <w:bCs/>
        </w:rPr>
        <w:t>R-CHOP, R-DHAP+ASCT±R)</w:t>
      </w:r>
      <w:r w:rsidRPr="000A178E">
        <w:rPr>
          <w:rFonts w:eastAsia="Arial"/>
        </w:rPr>
        <w:t xml:space="preserve"> sveikatai sukuriama nauda (inkrementiniai QALYS) - </w:t>
      </w:r>
      <w:r w:rsidR="00FF6E91">
        <w:rPr>
          <w:rFonts w:eastAsia="Arial"/>
        </w:rPr>
        <w:t>***</w:t>
      </w:r>
      <w:r w:rsidRPr="000A178E">
        <w:rPr>
          <w:rFonts w:eastAsia="Arial"/>
        </w:rPr>
        <w:t xml:space="preserve">, </w:t>
      </w:r>
      <w:r w:rsidRPr="000A178E">
        <w:t xml:space="preserve">o ibrutinibo derinyje kaštai yra </w:t>
      </w:r>
      <w:r w:rsidR="00FF6E91">
        <w:t>*****</w:t>
      </w:r>
      <w:r w:rsidR="00FF6E91">
        <w:t xml:space="preserve"> </w:t>
      </w:r>
      <w:r w:rsidRPr="000A178E">
        <w:rPr>
          <w:lang w:eastAsia="lt-LT"/>
        </w:rPr>
        <w:t xml:space="preserve">Eur. </w:t>
      </w:r>
      <w:r w:rsidRPr="000A178E">
        <w:t>didesni nei standartinio šiuo metu Lietuvoje taikomo gydymo.</w:t>
      </w:r>
      <w:r w:rsidRPr="000A178E">
        <w:rPr>
          <w:lang w:eastAsia="lt-LT"/>
        </w:rPr>
        <w:t xml:space="preserve"> Apskaičiuotas ICER – </w:t>
      </w:r>
      <w:r w:rsidR="00FF6E91">
        <w:t>*****</w:t>
      </w:r>
      <w:r w:rsidR="00FF6E91">
        <w:t xml:space="preserve"> </w:t>
      </w:r>
      <w:r w:rsidRPr="000A178E">
        <w:rPr>
          <w:color w:val="000000"/>
          <w:lang w:eastAsia="lt-LT"/>
        </w:rPr>
        <w:t xml:space="preserve">Eur./QALY </w:t>
      </w:r>
      <w:r w:rsidRPr="000A178E">
        <w:rPr>
          <w:lang w:eastAsia="lt-LT"/>
        </w:rPr>
        <w:t>atitinka lengvai ligos naštai taikomą referencinę kaštų naudingumo vertę (&lt;</w:t>
      </w:r>
      <w:r w:rsidR="00FF6E91">
        <w:t>*****</w:t>
      </w:r>
      <w:r w:rsidR="00FF6E91">
        <w:t xml:space="preserve"> </w:t>
      </w:r>
      <w:r w:rsidRPr="000A178E">
        <w:rPr>
          <w:color w:val="000000"/>
          <w:lang w:eastAsia="lt-LT"/>
        </w:rPr>
        <w:t>Eur.)</w:t>
      </w:r>
      <w:r w:rsidRPr="000A178E">
        <w:rPr>
          <w:lang w:eastAsia="lt-LT"/>
        </w:rPr>
        <w:t xml:space="preserve">. </w:t>
      </w:r>
    </w:p>
    <w:p w14:paraId="04F8999E" w14:textId="2E6D5719" w:rsidR="00260AA8" w:rsidRPr="000A178E" w:rsidRDefault="00260AA8" w:rsidP="00D7262F">
      <w:pPr>
        <w:spacing w:line="276" w:lineRule="auto"/>
        <w:ind w:firstLine="567"/>
        <w:jc w:val="both"/>
      </w:pPr>
      <w:r w:rsidRPr="000A178E">
        <w:t xml:space="preserve">Tarnyba pastebi, kad pagal vienveiksnės jautrumo analizės rezultatus itin jautrus kintamasis yra - laiko iki įvykio ekstrapoliacijos įverčiai (ICER svyruoja nuo dominuojančio iki </w:t>
      </w:r>
      <w:r w:rsidR="00FF6E91">
        <w:t>***</w:t>
      </w:r>
      <w:r w:rsidRPr="000A178E">
        <w:t xml:space="preserve"> tūkst.), tačiau atmetus matematiškai kraštutinius, mažai kliniškai tikėtinus scenarijus, praktiškai taikant skirtingas, bet kliniškai pagrįstas ekstrapoliacijos funkcijas (scenarijų analizėje), ICER kinta nuosekliai ir nė vienu atveju neviršija </w:t>
      </w:r>
      <w:r w:rsidR="00FF6E91">
        <w:t>**</w:t>
      </w:r>
      <w:r w:rsidRPr="000A178E">
        <w:t xml:space="preserve"> tūkst. ICER ribos. Vertinant kitus kintamuosius, nė vienu atveju </w:t>
      </w:r>
      <w:r w:rsidR="00D7262F" w:rsidRPr="000A178E">
        <w:t>lengvai</w:t>
      </w:r>
      <w:r w:rsidRPr="000A178E">
        <w:t xml:space="preserve"> ligos naštai taikomos referencinės kaštų naudingumo vertės </w:t>
      </w:r>
      <w:r w:rsidR="00D7262F" w:rsidRPr="000A178E">
        <w:t>slenkstis</w:t>
      </w:r>
      <w:r w:rsidRPr="000A178E">
        <w:t xml:space="preserve"> nėra viršijamas </w:t>
      </w:r>
      <w:r w:rsidRPr="000A178E">
        <w:rPr>
          <w:lang w:eastAsia="lt-LT"/>
        </w:rPr>
        <w:t>(&lt;</w:t>
      </w:r>
      <w:r w:rsidR="00FF6E91">
        <w:rPr>
          <w:i/>
        </w:rPr>
        <w:t>*****</w:t>
      </w:r>
      <w:r w:rsidRPr="000A178E">
        <w:rPr>
          <w:i/>
        </w:rPr>
        <w:t xml:space="preserve"> </w:t>
      </w:r>
      <w:r w:rsidRPr="000A178E">
        <w:rPr>
          <w:color w:val="000000"/>
          <w:lang w:eastAsia="lt-LT"/>
        </w:rPr>
        <w:t>Eur.)</w:t>
      </w:r>
      <w:r w:rsidRPr="000A178E">
        <w:t xml:space="preserve">. </w:t>
      </w:r>
      <w:r w:rsidRPr="000A178E">
        <w:lastRenderedPageBreak/>
        <w:t>Tarnyba taip pat atsižvelgia, kad siekiant sumažinti KNA neapibrėžtumus, Pareiškėjas teikia ibrunibo kainos nuolaidą (</w:t>
      </w:r>
      <w:r w:rsidR="00597C52">
        <w:t>**</w:t>
      </w:r>
      <w:r w:rsidRPr="000A178E">
        <w:t xml:space="preserve"> proc.). Laikoma, kad modelio rezultatai išlieka stabilūs ir patikimi.</w:t>
      </w:r>
    </w:p>
    <w:p w14:paraId="095571C2" w14:textId="531981FD" w:rsidR="007F6C04" w:rsidRDefault="007F6C04" w:rsidP="00D7262F">
      <w:pPr>
        <w:pStyle w:val="Sraopastraipa"/>
        <w:spacing w:line="276" w:lineRule="auto"/>
        <w:ind w:left="0" w:firstLine="450"/>
        <w:jc w:val="both"/>
        <w:rPr>
          <w:iCs/>
          <w:lang w:eastAsia="lt-LT"/>
        </w:rPr>
      </w:pPr>
    </w:p>
    <w:p w14:paraId="4FC424F9" w14:textId="4E767245" w:rsidR="00C62B36" w:rsidRPr="00334F18" w:rsidRDefault="00C62B36" w:rsidP="00D7262F">
      <w:pPr>
        <w:pStyle w:val="Sraopastraipa"/>
        <w:numPr>
          <w:ilvl w:val="0"/>
          <w:numId w:val="12"/>
        </w:numPr>
        <w:tabs>
          <w:tab w:val="left" w:pos="567"/>
        </w:tabs>
        <w:spacing w:line="276" w:lineRule="auto"/>
        <w:ind w:hanging="720"/>
        <w:rPr>
          <w:b/>
          <w:bCs/>
          <w:caps/>
        </w:rPr>
      </w:pPr>
      <w:r w:rsidRPr="00334F18">
        <w:rPr>
          <w:b/>
          <w:bCs/>
          <w:caps/>
        </w:rPr>
        <w:t xml:space="preserve">Pacientų organizacijų pateikti duomenys </w:t>
      </w:r>
    </w:p>
    <w:p w14:paraId="54351841" w14:textId="77777777" w:rsidR="00C9728E" w:rsidRPr="00334F18" w:rsidRDefault="00C9728E" w:rsidP="00D7262F">
      <w:pPr>
        <w:pStyle w:val="Sraopastraipa"/>
        <w:tabs>
          <w:tab w:val="left" w:pos="567"/>
        </w:tabs>
        <w:spacing w:line="276" w:lineRule="auto"/>
        <w:rPr>
          <w:b/>
          <w:bCs/>
          <w:caps/>
        </w:rPr>
      </w:pPr>
    </w:p>
    <w:p w14:paraId="62992180" w14:textId="5CEA8F3B" w:rsidR="00937907" w:rsidRPr="00334F18" w:rsidRDefault="00937907" w:rsidP="00D7262F">
      <w:pPr>
        <w:spacing w:after="120" w:line="276" w:lineRule="auto"/>
        <w:jc w:val="both"/>
      </w:pPr>
      <w:r w:rsidRPr="00334F18">
        <w:t xml:space="preserve">Pacientų organizacijos pozicija </w:t>
      </w:r>
      <w:r w:rsidR="00880A44" w:rsidRPr="00334F18">
        <w:t>ne</w:t>
      </w:r>
      <w:r w:rsidRPr="00334F18">
        <w:t>pateikta.</w:t>
      </w:r>
    </w:p>
    <w:p w14:paraId="03E73D82" w14:textId="77777777" w:rsidR="00D417D2" w:rsidRPr="00334F18" w:rsidRDefault="00D417D2" w:rsidP="00D7262F">
      <w:pPr>
        <w:spacing w:after="120" w:line="276" w:lineRule="auto"/>
        <w:jc w:val="both"/>
      </w:pPr>
    </w:p>
    <w:p w14:paraId="3D3277FA" w14:textId="09414FFF" w:rsidR="00C62B36" w:rsidRPr="00334F18" w:rsidRDefault="00D67BAF" w:rsidP="00D7262F">
      <w:pPr>
        <w:pStyle w:val="Sraopastraipa"/>
        <w:numPr>
          <w:ilvl w:val="0"/>
          <w:numId w:val="12"/>
        </w:numPr>
        <w:tabs>
          <w:tab w:val="left" w:pos="567"/>
        </w:tabs>
        <w:spacing w:line="276" w:lineRule="auto"/>
        <w:ind w:hanging="720"/>
        <w:rPr>
          <w:b/>
          <w:bCs/>
          <w:caps/>
        </w:rPr>
      </w:pPr>
      <w:r w:rsidRPr="00334F18">
        <w:rPr>
          <w:b/>
          <w:bCs/>
          <w:caps/>
        </w:rPr>
        <w:t xml:space="preserve">SVEIKATOS PRIEŽIŪROS SPECIALISTŲ </w:t>
      </w:r>
      <w:r w:rsidR="00C62B36" w:rsidRPr="00334F18">
        <w:rPr>
          <w:b/>
          <w:bCs/>
          <w:caps/>
        </w:rPr>
        <w:t xml:space="preserve"> organizacijų pateikti duomenys</w:t>
      </w:r>
    </w:p>
    <w:p w14:paraId="389A346C" w14:textId="1D0F6D4D" w:rsidR="002C7BF9" w:rsidRPr="00334F18" w:rsidRDefault="002C7BF9" w:rsidP="00D7262F">
      <w:pPr>
        <w:spacing w:after="120" w:line="276" w:lineRule="auto"/>
        <w:jc w:val="both"/>
      </w:pPr>
    </w:p>
    <w:p w14:paraId="5D8CC48C" w14:textId="562F4A15" w:rsidR="00662983" w:rsidRPr="00334F18" w:rsidRDefault="00D67BAF" w:rsidP="00D7262F">
      <w:pPr>
        <w:spacing w:after="120" w:line="276" w:lineRule="auto"/>
        <w:jc w:val="both"/>
      </w:pPr>
      <w:r w:rsidRPr="00334F18">
        <w:t>S</w:t>
      </w:r>
      <w:r w:rsidRPr="00334F18">
        <w:rPr>
          <w:bCs/>
        </w:rPr>
        <w:t>veikatos priežiūros specialistų</w:t>
      </w:r>
      <w:r w:rsidR="00937907" w:rsidRPr="00334F18">
        <w:t xml:space="preserve"> organizacijos pozicija </w:t>
      </w:r>
      <w:r w:rsidR="00880A44" w:rsidRPr="00334F18">
        <w:t>ne</w:t>
      </w:r>
      <w:r w:rsidR="00937907" w:rsidRPr="00334F18">
        <w:t>pateikta.</w:t>
      </w:r>
    </w:p>
    <w:p w14:paraId="3701D46A" w14:textId="77777777" w:rsidR="00A042B9" w:rsidRPr="00334F18" w:rsidRDefault="00A042B9" w:rsidP="00D7262F">
      <w:pPr>
        <w:spacing w:after="120" w:line="276" w:lineRule="auto"/>
        <w:jc w:val="both"/>
      </w:pPr>
    </w:p>
    <w:p w14:paraId="78F23ECB" w14:textId="3ED5BFD5" w:rsidR="002F0E4F" w:rsidRPr="00334F18" w:rsidRDefault="002F0E4F" w:rsidP="00D7262F">
      <w:pPr>
        <w:pStyle w:val="Sraopastraipa"/>
        <w:numPr>
          <w:ilvl w:val="0"/>
          <w:numId w:val="12"/>
        </w:numPr>
        <w:tabs>
          <w:tab w:val="left" w:pos="567"/>
        </w:tabs>
        <w:spacing w:line="276" w:lineRule="auto"/>
        <w:ind w:hanging="720"/>
        <w:rPr>
          <w:b/>
          <w:bCs/>
          <w:caps/>
        </w:rPr>
      </w:pPr>
      <w:r w:rsidRPr="00334F18">
        <w:rPr>
          <w:b/>
          <w:bCs/>
          <w:caps/>
        </w:rPr>
        <w:t>Išvad</w:t>
      </w:r>
      <w:r w:rsidR="00B811A4" w:rsidRPr="00334F18">
        <w:rPr>
          <w:b/>
          <w:bCs/>
          <w:caps/>
        </w:rPr>
        <w:t>OS</w:t>
      </w:r>
      <w:r w:rsidRPr="00334F18">
        <w:rPr>
          <w:b/>
          <w:bCs/>
          <w:caps/>
        </w:rPr>
        <w:t xml:space="preserve"> </w:t>
      </w:r>
    </w:p>
    <w:p w14:paraId="30069D85" w14:textId="77777777" w:rsidR="0061611B" w:rsidRPr="00334F18" w:rsidRDefault="0061611B" w:rsidP="00D7262F">
      <w:pPr>
        <w:spacing w:line="276" w:lineRule="auto"/>
        <w:ind w:left="360"/>
        <w:rPr>
          <w:i/>
          <w:szCs w:val="22"/>
        </w:rPr>
      </w:pPr>
    </w:p>
    <w:tbl>
      <w:tblPr>
        <w:tblStyle w:val="Lentelstinklelis"/>
        <w:tblW w:w="0" w:type="auto"/>
        <w:tblInd w:w="-5" w:type="dxa"/>
        <w:tblLook w:val="04A0" w:firstRow="1" w:lastRow="0" w:firstColumn="1" w:lastColumn="0" w:noHBand="0" w:noVBand="1"/>
      </w:tblPr>
      <w:tblGrid>
        <w:gridCol w:w="4820"/>
        <w:gridCol w:w="4814"/>
      </w:tblGrid>
      <w:tr w:rsidR="00334F18" w:rsidRPr="00334F18" w14:paraId="4D5EFB83" w14:textId="77777777" w:rsidTr="007111C4">
        <w:trPr>
          <w:trHeight w:val="510"/>
        </w:trPr>
        <w:tc>
          <w:tcPr>
            <w:tcW w:w="9634" w:type="dxa"/>
            <w:gridSpan w:val="2"/>
            <w:vAlign w:val="center"/>
          </w:tcPr>
          <w:p w14:paraId="294EC16B" w14:textId="77777777" w:rsidR="00B811A4" w:rsidRPr="00334F18" w:rsidRDefault="00B811A4" w:rsidP="00D726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Style w:val="Style2"/>
                <w:rFonts w:eastAsia="MS Gothic"/>
                <w:b/>
                <w:bCs/>
                <w:sz w:val="23"/>
                <w:szCs w:val="23"/>
              </w:rPr>
            </w:pPr>
            <w:bookmarkStart w:id="2" w:name="_Hlk185430554"/>
            <w:r w:rsidRPr="00334F18">
              <w:rPr>
                <w:rStyle w:val="Style2"/>
                <w:rFonts w:eastAsia="MS Gothic"/>
                <w:b/>
                <w:bCs/>
                <w:sz w:val="23"/>
                <w:szCs w:val="23"/>
              </w:rPr>
              <w:t>Palyginamasis veiksmingumas</w:t>
            </w:r>
          </w:p>
        </w:tc>
      </w:tr>
      <w:tr w:rsidR="00334F18" w:rsidRPr="00334F18" w14:paraId="30B67515" w14:textId="77777777" w:rsidTr="007111C4">
        <w:tc>
          <w:tcPr>
            <w:tcW w:w="4820" w:type="dxa"/>
          </w:tcPr>
          <w:p w14:paraId="4FE3C208" w14:textId="308E7EE2" w:rsidR="00B811A4" w:rsidRPr="00334F18" w:rsidRDefault="008F5ABA" w:rsidP="00D726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 w:val="23"/>
                <w:szCs w:val="23"/>
              </w:rPr>
            </w:pPr>
            <w:sdt>
              <w:sdtPr>
                <w:rPr>
                  <w:rStyle w:val="Style2"/>
                  <w:sz w:val="23"/>
                  <w:szCs w:val="23"/>
                </w:rPr>
                <w:id w:val="1397324644"/>
                <w15:color w:val="FFCC00"/>
                <w14:checkbox>
                  <w14:checked w14:val="1"/>
                  <w14:checkedState w14:val="2612" w14:font="MS Gothic"/>
                  <w14:uncheckedState w14:val="2610" w14:font="MS Gothic"/>
                </w14:checkbox>
              </w:sdtPr>
              <w:sdtEndPr>
                <w:rPr>
                  <w:rStyle w:val="Style2"/>
                </w:rPr>
              </w:sdtEndPr>
              <w:sdtContent>
                <w:r w:rsidR="00CB7AD6">
                  <w:rPr>
                    <w:rStyle w:val="Style2"/>
                    <w:rFonts w:ascii="MS Gothic" w:eastAsia="MS Gothic" w:hAnsi="MS Gothic" w:hint="eastAsia"/>
                    <w:sz w:val="23"/>
                    <w:szCs w:val="23"/>
                  </w:rPr>
                  <w:t>☒</w:t>
                </w:r>
              </w:sdtContent>
            </w:sdt>
            <w:r w:rsidR="00B811A4" w:rsidRPr="00334F18">
              <w:rPr>
                <w:rStyle w:val="Style2"/>
                <w:sz w:val="23"/>
                <w:szCs w:val="23"/>
              </w:rPr>
              <w:t xml:space="preserve"> 29</w:t>
            </w:r>
            <w:r w:rsidR="00B811A4" w:rsidRPr="00334F18">
              <w:rPr>
                <w:sz w:val="23"/>
                <w:szCs w:val="23"/>
              </w:rPr>
              <w:t>.1.1 yra didesnis, lyginant su įprasta klinikine praktika</w:t>
            </w:r>
          </w:p>
          <w:p w14:paraId="6F9786E4" w14:textId="77777777" w:rsidR="00B811A4" w:rsidRPr="00334F18" w:rsidRDefault="00B811A4" w:rsidP="00D726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 w:val="23"/>
                <w:szCs w:val="23"/>
              </w:rPr>
            </w:pPr>
          </w:p>
          <w:p w14:paraId="231EDECD" w14:textId="4577FCE8" w:rsidR="00B811A4" w:rsidRPr="00334F18" w:rsidRDefault="008F5ABA" w:rsidP="00D726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Style w:val="Style2"/>
                <w:sz w:val="23"/>
                <w:szCs w:val="23"/>
              </w:rPr>
            </w:pPr>
            <w:sdt>
              <w:sdtPr>
                <w:rPr>
                  <w:rStyle w:val="Style2"/>
                  <w:sz w:val="23"/>
                  <w:szCs w:val="23"/>
                </w:rPr>
                <w:id w:val="418297090"/>
                <w15:color w:val="FFCC00"/>
                <w14:checkbox>
                  <w14:checked w14:val="0"/>
                  <w14:checkedState w14:val="2612" w14:font="MS Gothic"/>
                  <w14:uncheckedState w14:val="2610" w14:font="MS Gothic"/>
                </w14:checkbox>
              </w:sdtPr>
              <w:sdtEndPr>
                <w:rPr>
                  <w:rStyle w:val="Style2"/>
                </w:rPr>
              </w:sdtEndPr>
              <w:sdtContent>
                <w:r w:rsidR="00CB7AD6">
                  <w:rPr>
                    <w:rStyle w:val="Style2"/>
                    <w:rFonts w:ascii="MS Gothic" w:eastAsia="MS Gothic" w:hAnsi="MS Gothic" w:hint="eastAsia"/>
                    <w:sz w:val="23"/>
                    <w:szCs w:val="23"/>
                  </w:rPr>
                  <w:t>☐</w:t>
                </w:r>
              </w:sdtContent>
            </w:sdt>
            <w:r w:rsidR="00B811A4" w:rsidRPr="00334F18">
              <w:rPr>
                <w:sz w:val="23"/>
                <w:szCs w:val="23"/>
              </w:rPr>
              <w:t xml:space="preserve"> </w:t>
            </w:r>
            <w:r w:rsidR="00B811A4" w:rsidRPr="00334F18">
              <w:rPr>
                <w:rStyle w:val="Style2"/>
                <w:sz w:val="23"/>
                <w:szCs w:val="23"/>
              </w:rPr>
              <w:t>29</w:t>
            </w:r>
            <w:r w:rsidR="00B811A4" w:rsidRPr="00334F18">
              <w:rPr>
                <w:sz w:val="23"/>
                <w:szCs w:val="23"/>
              </w:rPr>
              <w:t>.1.2 iš esmės nesiskiria, lyginant su įprasta klinikine praktika</w:t>
            </w:r>
          </w:p>
        </w:tc>
        <w:tc>
          <w:tcPr>
            <w:tcW w:w="4814" w:type="dxa"/>
          </w:tcPr>
          <w:p w14:paraId="72562F9E" w14:textId="77777777" w:rsidR="00B811A4" w:rsidRPr="00334F18" w:rsidRDefault="008F5ABA" w:rsidP="00D726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 w:val="23"/>
                <w:szCs w:val="23"/>
              </w:rPr>
            </w:pPr>
            <w:sdt>
              <w:sdtPr>
                <w:rPr>
                  <w:rStyle w:val="Style2"/>
                  <w:sz w:val="23"/>
                  <w:szCs w:val="23"/>
                </w:rPr>
                <w:id w:val="-724755596"/>
                <w15:color w:val="FFCC00"/>
                <w14:checkbox>
                  <w14:checked w14:val="0"/>
                  <w14:checkedState w14:val="2612" w14:font="MS Gothic"/>
                  <w14:uncheckedState w14:val="2610" w14:font="MS Gothic"/>
                </w14:checkbox>
              </w:sdtPr>
              <w:sdtEndPr>
                <w:rPr>
                  <w:rStyle w:val="Style2"/>
                </w:rPr>
              </w:sdtEndPr>
              <w:sdtContent>
                <w:r w:rsidR="00B811A4" w:rsidRPr="00334F18">
                  <w:rPr>
                    <w:rStyle w:val="Style2"/>
                    <w:rFonts w:ascii="Segoe UI Symbol" w:eastAsia="MS Gothic" w:hAnsi="Segoe UI Symbol" w:cs="Segoe UI Symbol"/>
                    <w:sz w:val="23"/>
                    <w:szCs w:val="23"/>
                  </w:rPr>
                  <w:t>☐</w:t>
                </w:r>
              </w:sdtContent>
            </w:sdt>
            <w:r w:rsidR="00B811A4" w:rsidRPr="00334F18">
              <w:rPr>
                <w:sz w:val="23"/>
                <w:szCs w:val="23"/>
              </w:rPr>
              <w:t xml:space="preserve"> </w:t>
            </w:r>
            <w:r w:rsidR="00B811A4" w:rsidRPr="00334F18">
              <w:rPr>
                <w:rStyle w:val="Style2"/>
                <w:sz w:val="23"/>
                <w:szCs w:val="23"/>
              </w:rPr>
              <w:t>29</w:t>
            </w:r>
            <w:r w:rsidR="00B811A4" w:rsidRPr="00334F18">
              <w:rPr>
                <w:sz w:val="23"/>
                <w:szCs w:val="23"/>
              </w:rPr>
              <w:t xml:space="preserve">.1.3 yra neįrodytas kaip didesnis  ar iš esmės nesiskiriantis, lyginant su įprasta klinikine praktika  </w:t>
            </w:r>
          </w:p>
          <w:p w14:paraId="6F6DB5BC" w14:textId="77777777" w:rsidR="00B811A4" w:rsidRPr="00334F18" w:rsidRDefault="00B811A4" w:rsidP="00D726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 w:val="23"/>
                <w:szCs w:val="23"/>
              </w:rPr>
            </w:pPr>
          </w:p>
          <w:p w14:paraId="5EE1D885" w14:textId="77777777" w:rsidR="00B811A4" w:rsidRPr="00334F18" w:rsidRDefault="008F5ABA" w:rsidP="00D726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 w:val="23"/>
                <w:szCs w:val="23"/>
              </w:rPr>
            </w:pPr>
            <w:sdt>
              <w:sdtPr>
                <w:rPr>
                  <w:rStyle w:val="Style2"/>
                  <w:sz w:val="23"/>
                  <w:szCs w:val="23"/>
                </w:rPr>
                <w:id w:val="1862168479"/>
                <w15:color w:val="FFCC00"/>
                <w14:checkbox>
                  <w14:checked w14:val="0"/>
                  <w14:checkedState w14:val="2612" w14:font="MS Gothic"/>
                  <w14:uncheckedState w14:val="2610" w14:font="MS Gothic"/>
                </w14:checkbox>
              </w:sdtPr>
              <w:sdtEndPr>
                <w:rPr>
                  <w:rStyle w:val="Style2"/>
                </w:rPr>
              </w:sdtEndPr>
              <w:sdtContent>
                <w:r w:rsidR="00B811A4" w:rsidRPr="00334F18">
                  <w:rPr>
                    <w:rStyle w:val="Style2"/>
                    <w:rFonts w:ascii="Segoe UI Symbol" w:eastAsia="MS Gothic" w:hAnsi="Segoe UI Symbol" w:cs="Segoe UI Symbol"/>
                    <w:sz w:val="23"/>
                    <w:szCs w:val="23"/>
                  </w:rPr>
                  <w:t>☐</w:t>
                </w:r>
              </w:sdtContent>
            </w:sdt>
            <w:r w:rsidR="00B811A4" w:rsidRPr="00334F18">
              <w:rPr>
                <w:sz w:val="23"/>
                <w:szCs w:val="23"/>
              </w:rPr>
              <w:t xml:space="preserve"> </w:t>
            </w:r>
            <w:r w:rsidR="00B811A4" w:rsidRPr="00334F18">
              <w:rPr>
                <w:rStyle w:val="Style2"/>
                <w:sz w:val="23"/>
                <w:szCs w:val="23"/>
              </w:rPr>
              <w:t>29</w:t>
            </w:r>
            <w:r w:rsidR="00B811A4" w:rsidRPr="00334F18">
              <w:rPr>
                <w:sz w:val="23"/>
                <w:szCs w:val="23"/>
              </w:rPr>
              <w:t>.1.4 yra mažesnis, lyginant su įprasta klinikine praktika</w:t>
            </w:r>
          </w:p>
          <w:p w14:paraId="193C3D76" w14:textId="77777777" w:rsidR="00B811A4" w:rsidRPr="00334F18" w:rsidRDefault="00B811A4" w:rsidP="00D726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 w:val="23"/>
                <w:szCs w:val="23"/>
              </w:rPr>
            </w:pPr>
          </w:p>
          <w:p w14:paraId="370E94DC" w14:textId="4EC80DB9" w:rsidR="00B811A4" w:rsidRPr="00334F18" w:rsidRDefault="008F5ABA" w:rsidP="00D726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 w:val="23"/>
                <w:szCs w:val="23"/>
              </w:rPr>
            </w:pPr>
            <w:sdt>
              <w:sdtPr>
                <w:rPr>
                  <w:rStyle w:val="Style2"/>
                  <w:sz w:val="23"/>
                  <w:szCs w:val="23"/>
                </w:rPr>
                <w:id w:val="-1857960180"/>
                <w15:color w:val="FFCC00"/>
                <w14:checkbox>
                  <w14:checked w14:val="0"/>
                  <w14:checkedState w14:val="2612" w14:font="MS Gothic"/>
                  <w14:uncheckedState w14:val="2610" w14:font="MS Gothic"/>
                </w14:checkbox>
              </w:sdtPr>
              <w:sdtEndPr>
                <w:rPr>
                  <w:rStyle w:val="Style2"/>
                </w:rPr>
              </w:sdtEndPr>
              <w:sdtContent>
                <w:r w:rsidR="00B811A4" w:rsidRPr="00334F18">
                  <w:rPr>
                    <w:rStyle w:val="Style2"/>
                    <w:rFonts w:ascii="Segoe UI Symbol" w:eastAsia="MS Gothic" w:hAnsi="Segoe UI Symbol" w:cs="Segoe UI Symbol"/>
                    <w:sz w:val="23"/>
                    <w:szCs w:val="23"/>
                  </w:rPr>
                  <w:t>☐</w:t>
                </w:r>
              </w:sdtContent>
            </w:sdt>
            <w:r w:rsidR="00B811A4" w:rsidRPr="00334F18">
              <w:rPr>
                <w:sz w:val="23"/>
                <w:szCs w:val="23"/>
              </w:rPr>
              <w:t xml:space="preserve"> </w:t>
            </w:r>
            <w:r w:rsidR="00B811A4" w:rsidRPr="00334F18">
              <w:rPr>
                <w:rStyle w:val="Style2"/>
                <w:sz w:val="23"/>
                <w:szCs w:val="23"/>
              </w:rPr>
              <w:t>29</w:t>
            </w:r>
            <w:r w:rsidR="00B811A4" w:rsidRPr="00334F18">
              <w:rPr>
                <w:sz w:val="23"/>
                <w:szCs w:val="23"/>
              </w:rPr>
              <w:t>.1.5 pateikti duomenys apie palyginamąjį veiksmingumą yra netinkami vertinti</w:t>
            </w:r>
          </w:p>
          <w:p w14:paraId="45719037" w14:textId="77777777" w:rsidR="00B811A4" w:rsidRPr="00334F18" w:rsidRDefault="00B811A4" w:rsidP="00D726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Style w:val="Style2"/>
                <w:rFonts w:eastAsia="MS Gothic"/>
                <w:sz w:val="23"/>
                <w:szCs w:val="23"/>
              </w:rPr>
            </w:pPr>
          </w:p>
        </w:tc>
      </w:tr>
      <w:bookmarkEnd w:id="2"/>
      <w:tr w:rsidR="00334F18" w:rsidRPr="00334F18" w14:paraId="0E0F5168" w14:textId="77777777" w:rsidTr="00743956">
        <w:trPr>
          <w:trHeight w:val="510"/>
        </w:trPr>
        <w:tc>
          <w:tcPr>
            <w:tcW w:w="9634" w:type="dxa"/>
            <w:gridSpan w:val="2"/>
            <w:vAlign w:val="center"/>
          </w:tcPr>
          <w:p w14:paraId="62B67E12" w14:textId="77777777" w:rsidR="00B811A4" w:rsidRPr="00334F18" w:rsidRDefault="00B811A4" w:rsidP="00D726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Style w:val="Style2"/>
                <w:rFonts w:eastAsia="MS Gothic"/>
                <w:b/>
                <w:bCs/>
                <w:sz w:val="23"/>
                <w:szCs w:val="23"/>
              </w:rPr>
            </w:pPr>
            <w:r w:rsidRPr="00334F18">
              <w:rPr>
                <w:rStyle w:val="Style2"/>
                <w:rFonts w:eastAsia="MS Gothic"/>
                <w:b/>
                <w:bCs/>
                <w:sz w:val="23"/>
                <w:szCs w:val="23"/>
              </w:rPr>
              <w:t>Kaštų naudingumas</w:t>
            </w:r>
          </w:p>
        </w:tc>
      </w:tr>
      <w:tr w:rsidR="00334F18" w:rsidRPr="00334F18" w14:paraId="6A2F62B2" w14:textId="77777777" w:rsidTr="00743956">
        <w:tc>
          <w:tcPr>
            <w:tcW w:w="4820" w:type="dxa"/>
          </w:tcPr>
          <w:p w14:paraId="7CB2C697" w14:textId="50C24415" w:rsidR="00B811A4" w:rsidRPr="00334F18" w:rsidRDefault="008F5ABA" w:rsidP="00D726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 w:val="23"/>
                <w:szCs w:val="23"/>
              </w:rPr>
            </w:pPr>
            <w:sdt>
              <w:sdtPr>
                <w:rPr>
                  <w:rStyle w:val="Style2"/>
                  <w:sz w:val="23"/>
                  <w:szCs w:val="23"/>
                </w:rPr>
                <w:id w:val="301657889"/>
                <w15:color w:val="FFCC00"/>
                <w14:checkbox>
                  <w14:checked w14:val="1"/>
                  <w14:checkedState w14:val="2612" w14:font="MS Gothic"/>
                  <w14:uncheckedState w14:val="2610" w14:font="MS Gothic"/>
                </w14:checkbox>
              </w:sdtPr>
              <w:sdtEndPr>
                <w:rPr>
                  <w:rStyle w:val="Style2"/>
                </w:rPr>
              </w:sdtEndPr>
              <w:sdtContent>
                <w:r w:rsidR="007F6C04">
                  <w:rPr>
                    <w:rStyle w:val="Style2"/>
                    <w:rFonts w:ascii="MS Gothic" w:eastAsia="MS Gothic" w:hAnsi="MS Gothic" w:hint="eastAsia"/>
                    <w:sz w:val="23"/>
                    <w:szCs w:val="23"/>
                  </w:rPr>
                  <w:t>☒</w:t>
                </w:r>
              </w:sdtContent>
            </w:sdt>
            <w:r w:rsidR="00B811A4" w:rsidRPr="00334F18">
              <w:rPr>
                <w:sz w:val="23"/>
                <w:szCs w:val="23"/>
              </w:rPr>
              <w:t xml:space="preserve"> 29.2.1 atitinka referencinę naudingumo vertę taikant arba netaikant</w:t>
            </w:r>
            <w:r w:rsidR="00437623" w:rsidRPr="00334F18">
              <w:rPr>
                <w:b/>
                <w:bCs/>
                <w:sz w:val="23"/>
                <w:szCs w:val="23"/>
              </w:rPr>
              <w:t xml:space="preserve"> </w:t>
            </w:r>
            <w:r w:rsidR="00B811A4" w:rsidRPr="00334F18">
              <w:rPr>
                <w:sz w:val="23"/>
                <w:szCs w:val="23"/>
              </w:rPr>
              <w:t>PGS</w:t>
            </w:r>
          </w:p>
          <w:p w14:paraId="71797774" w14:textId="77777777" w:rsidR="00B811A4" w:rsidRPr="00334F18" w:rsidRDefault="00B811A4" w:rsidP="00D726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 w:val="23"/>
                <w:szCs w:val="23"/>
              </w:rPr>
            </w:pPr>
          </w:p>
          <w:p w14:paraId="5BE88CDB" w14:textId="60C4FFA7" w:rsidR="00B811A4" w:rsidRPr="00334F18" w:rsidRDefault="00B811A4" w:rsidP="00D726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Style w:val="Style2"/>
                <w:rFonts w:eastAsia="MS Gothic"/>
                <w:sz w:val="23"/>
                <w:szCs w:val="23"/>
              </w:rPr>
            </w:pPr>
          </w:p>
        </w:tc>
        <w:tc>
          <w:tcPr>
            <w:tcW w:w="4814" w:type="dxa"/>
          </w:tcPr>
          <w:p w14:paraId="0370A72C" w14:textId="77777777" w:rsidR="00B811A4" w:rsidRPr="00334F18" w:rsidRDefault="008F5ABA" w:rsidP="00D726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 w:val="23"/>
                <w:szCs w:val="23"/>
              </w:rPr>
            </w:pPr>
            <w:sdt>
              <w:sdtPr>
                <w:rPr>
                  <w:rStyle w:val="Style2"/>
                  <w:sz w:val="23"/>
                  <w:szCs w:val="23"/>
                </w:rPr>
                <w:id w:val="791860283"/>
                <w15:color w:val="FFCC00"/>
                <w14:checkbox>
                  <w14:checked w14:val="0"/>
                  <w14:checkedState w14:val="2612" w14:font="MS Gothic"/>
                  <w14:uncheckedState w14:val="2610" w14:font="MS Gothic"/>
                </w14:checkbox>
              </w:sdtPr>
              <w:sdtEndPr>
                <w:rPr>
                  <w:rStyle w:val="Style2"/>
                </w:rPr>
              </w:sdtEndPr>
              <w:sdtContent>
                <w:r w:rsidR="00B811A4" w:rsidRPr="00334F18">
                  <w:rPr>
                    <w:rStyle w:val="Style2"/>
                    <w:rFonts w:ascii="Segoe UI Symbol" w:eastAsia="MS Gothic" w:hAnsi="Segoe UI Symbol" w:cs="Segoe UI Symbol"/>
                    <w:sz w:val="23"/>
                    <w:szCs w:val="23"/>
                  </w:rPr>
                  <w:t>☐</w:t>
                </w:r>
              </w:sdtContent>
            </w:sdt>
            <w:r w:rsidR="00B811A4" w:rsidRPr="00334F18">
              <w:rPr>
                <w:sz w:val="23"/>
                <w:szCs w:val="23"/>
              </w:rPr>
              <w:t xml:space="preserve"> 29.2.3 neatitinka referencinės naudingumo vertės taikant arba netaikant PGS</w:t>
            </w:r>
          </w:p>
          <w:p w14:paraId="13C9EEE5" w14:textId="77777777" w:rsidR="00B811A4" w:rsidRPr="00334F18" w:rsidRDefault="00B811A4" w:rsidP="00D726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 w:val="23"/>
                <w:szCs w:val="23"/>
              </w:rPr>
            </w:pPr>
          </w:p>
          <w:p w14:paraId="289E6691" w14:textId="77777777" w:rsidR="00B811A4" w:rsidRPr="00334F18" w:rsidRDefault="00B811A4" w:rsidP="00D726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 w:val="23"/>
                <w:szCs w:val="23"/>
              </w:rPr>
            </w:pPr>
          </w:p>
          <w:p w14:paraId="5FD1976C" w14:textId="77777777" w:rsidR="00B811A4" w:rsidRPr="00334F18" w:rsidRDefault="008F5ABA" w:rsidP="00D726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 w:val="23"/>
                <w:szCs w:val="23"/>
              </w:rPr>
            </w:pPr>
            <w:sdt>
              <w:sdtPr>
                <w:rPr>
                  <w:rStyle w:val="Style2"/>
                  <w:sz w:val="23"/>
                  <w:szCs w:val="23"/>
                </w:rPr>
                <w:id w:val="-943849855"/>
                <w15:color w:val="FFCC00"/>
                <w14:checkbox>
                  <w14:checked w14:val="0"/>
                  <w14:checkedState w14:val="2612" w14:font="MS Gothic"/>
                  <w14:uncheckedState w14:val="2610" w14:font="MS Gothic"/>
                </w14:checkbox>
              </w:sdtPr>
              <w:sdtEndPr>
                <w:rPr>
                  <w:rStyle w:val="Style2"/>
                </w:rPr>
              </w:sdtEndPr>
              <w:sdtContent>
                <w:r w:rsidR="00B811A4" w:rsidRPr="00334F18">
                  <w:rPr>
                    <w:rStyle w:val="Style2"/>
                    <w:rFonts w:ascii="Segoe UI Symbol" w:eastAsia="MS Gothic" w:hAnsi="Segoe UI Symbol" w:cs="Segoe UI Symbol"/>
                    <w:sz w:val="23"/>
                    <w:szCs w:val="23"/>
                  </w:rPr>
                  <w:t>☐</w:t>
                </w:r>
              </w:sdtContent>
            </w:sdt>
            <w:r w:rsidR="00B811A4" w:rsidRPr="00334F18">
              <w:rPr>
                <w:sz w:val="23"/>
                <w:szCs w:val="23"/>
              </w:rPr>
              <w:t xml:space="preserve"> 29.2.5 pateikti duomenys apie kaštų naudingumą yra netinkami vertinti</w:t>
            </w:r>
          </w:p>
          <w:p w14:paraId="06AB06C5" w14:textId="77777777" w:rsidR="00B811A4" w:rsidRPr="00334F18" w:rsidRDefault="00B811A4" w:rsidP="00D726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Style w:val="Style2"/>
                <w:rFonts w:eastAsia="MS Gothic"/>
                <w:sz w:val="23"/>
                <w:szCs w:val="23"/>
              </w:rPr>
            </w:pPr>
          </w:p>
        </w:tc>
      </w:tr>
      <w:tr w:rsidR="00334F18" w:rsidRPr="00334F18" w14:paraId="632C9193" w14:textId="77777777" w:rsidTr="00027464">
        <w:tc>
          <w:tcPr>
            <w:tcW w:w="9634" w:type="dxa"/>
            <w:gridSpan w:val="2"/>
          </w:tcPr>
          <w:p w14:paraId="15C289C9" w14:textId="1AF7EBD4" w:rsidR="007111C4" w:rsidRPr="00334F18" w:rsidRDefault="008F5ABA" w:rsidP="00D726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Style w:val="Style2"/>
                <w:sz w:val="23"/>
                <w:szCs w:val="23"/>
              </w:rPr>
            </w:pPr>
            <w:sdt>
              <w:sdtPr>
                <w:rPr>
                  <w:rStyle w:val="Style2"/>
                  <w:sz w:val="23"/>
                  <w:szCs w:val="23"/>
                </w:rPr>
                <w:id w:val="1266579562"/>
                <w15:color w:val="FFCC00"/>
                <w14:checkbox>
                  <w14:checked w14:val="0"/>
                  <w14:checkedState w14:val="2612" w14:font="MS Gothic"/>
                  <w14:uncheckedState w14:val="2610" w14:font="MS Gothic"/>
                </w14:checkbox>
              </w:sdtPr>
              <w:sdtEndPr>
                <w:rPr>
                  <w:rStyle w:val="Style2"/>
                </w:rPr>
              </w:sdtEndPr>
              <w:sdtContent>
                <w:r w:rsidR="00FC1403">
                  <w:rPr>
                    <w:rStyle w:val="Style2"/>
                    <w:rFonts w:ascii="MS Gothic" w:eastAsia="MS Gothic" w:hAnsi="MS Gothic" w:hint="eastAsia"/>
                    <w:sz w:val="23"/>
                    <w:szCs w:val="23"/>
                  </w:rPr>
                  <w:t>☐</w:t>
                </w:r>
              </w:sdtContent>
            </w:sdt>
            <w:r w:rsidR="007111C4" w:rsidRPr="00334F18">
              <w:rPr>
                <w:sz w:val="23"/>
                <w:szCs w:val="23"/>
              </w:rPr>
              <w:t xml:space="preserve"> Vykdant Aprašo &lt;17</w:t>
            </w:r>
            <w:r w:rsidR="007111C4" w:rsidRPr="00334F18">
              <w:rPr>
                <w:sz w:val="23"/>
                <w:szCs w:val="23"/>
                <w:vertAlign w:val="superscript"/>
              </w:rPr>
              <w:t>3</w:t>
            </w:r>
            <w:r w:rsidR="007111C4" w:rsidRPr="00334F18">
              <w:rPr>
                <w:sz w:val="23"/>
                <w:szCs w:val="23"/>
              </w:rPr>
              <w:t>.1&gt;&lt;17</w:t>
            </w:r>
            <w:r w:rsidR="007111C4" w:rsidRPr="00334F18">
              <w:rPr>
                <w:sz w:val="23"/>
                <w:szCs w:val="23"/>
                <w:vertAlign w:val="superscript"/>
              </w:rPr>
              <w:t>3</w:t>
            </w:r>
            <w:r w:rsidR="007111C4" w:rsidRPr="00334F18">
              <w:rPr>
                <w:sz w:val="23"/>
                <w:szCs w:val="23"/>
              </w:rPr>
              <w:t>.2&gt;&lt;17</w:t>
            </w:r>
            <w:r w:rsidR="007111C4" w:rsidRPr="00334F18">
              <w:rPr>
                <w:sz w:val="23"/>
                <w:szCs w:val="23"/>
                <w:vertAlign w:val="superscript"/>
              </w:rPr>
              <w:t>3</w:t>
            </w:r>
            <w:r w:rsidR="007111C4" w:rsidRPr="00334F18">
              <w:rPr>
                <w:sz w:val="23"/>
                <w:szCs w:val="23"/>
              </w:rPr>
              <w:t>.3&gt; punktą vaistinio (-ų) preparato (-ų) ekonominis vertinimas neatliekamas, išvados dėl kaštų naudingumo neteikiamos</w:t>
            </w:r>
          </w:p>
        </w:tc>
      </w:tr>
    </w:tbl>
    <w:p w14:paraId="08D5B3B6" w14:textId="292D1124" w:rsidR="0061611B" w:rsidRPr="00334F18" w:rsidRDefault="0061611B" w:rsidP="00D7262F">
      <w:pPr>
        <w:spacing w:line="276" w:lineRule="auto"/>
        <w:rPr>
          <w:i/>
          <w:szCs w:val="22"/>
        </w:rPr>
      </w:pPr>
    </w:p>
    <w:p w14:paraId="1B85C083" w14:textId="77777777" w:rsidR="009E44AE" w:rsidRPr="00334F18" w:rsidRDefault="009E44AE" w:rsidP="00D7262F">
      <w:pPr>
        <w:spacing w:line="276" w:lineRule="auto"/>
      </w:pPr>
    </w:p>
    <w:p w14:paraId="3B2D1F25" w14:textId="3A80E19F" w:rsidR="000001B0" w:rsidRPr="00334F18" w:rsidRDefault="000001B0" w:rsidP="00D7262F">
      <w:pPr>
        <w:pStyle w:val="Sraopastraipa"/>
        <w:numPr>
          <w:ilvl w:val="0"/>
          <w:numId w:val="12"/>
        </w:numPr>
        <w:spacing w:line="276" w:lineRule="auto"/>
        <w:ind w:left="567" w:hanging="567"/>
      </w:pPr>
      <w:r w:rsidRPr="00334F18">
        <w:rPr>
          <w:b/>
        </w:rPr>
        <w:t>REKOME</w:t>
      </w:r>
      <w:r w:rsidR="00D83182" w:rsidRPr="00334F18">
        <w:rPr>
          <w:b/>
        </w:rPr>
        <w:t>N</w:t>
      </w:r>
      <w:r w:rsidRPr="00334F18">
        <w:rPr>
          <w:b/>
        </w:rPr>
        <w:t>DACIJA</w:t>
      </w:r>
    </w:p>
    <w:p w14:paraId="5A269AD6" w14:textId="77777777" w:rsidR="007F6C04" w:rsidRDefault="007F6C04" w:rsidP="00D7262F">
      <w:pPr>
        <w:spacing w:line="276" w:lineRule="auto"/>
        <w:jc w:val="both"/>
      </w:pPr>
    </w:p>
    <w:p w14:paraId="306CB553" w14:textId="7CCD0258" w:rsidR="007F6C04" w:rsidRPr="007F6C04" w:rsidRDefault="007F6C04" w:rsidP="00D7262F">
      <w:pPr>
        <w:spacing w:line="276" w:lineRule="auto"/>
        <w:jc w:val="both"/>
        <w:rPr>
          <w:i/>
        </w:rPr>
      </w:pPr>
      <w:r w:rsidRPr="00603B3A">
        <w:t>Vadovaujantis Aprašo 30</w:t>
      </w:r>
      <w:r w:rsidRPr="007F6C04">
        <w:rPr>
          <w:vertAlign w:val="superscript"/>
        </w:rPr>
        <w:t>1</w:t>
      </w:r>
      <w:r w:rsidRPr="00603B3A">
        <w:t xml:space="preserve">.1 papunkčiu rekomenduojama kompensuoti vaistinį preparatą pagal paraiškoje nurodytą indikaciją (arba jos dalį) su </w:t>
      </w:r>
      <w:r>
        <w:t xml:space="preserve">skyrimo sąlygomis, </w:t>
      </w:r>
      <w:r w:rsidRPr="00603B3A">
        <w:t xml:space="preserve">netaikant PGS, </w:t>
      </w:r>
      <w:r>
        <w:t xml:space="preserve">kai vertinimo išvados atitinka </w:t>
      </w:r>
      <w:r w:rsidRPr="00603B3A">
        <w:t>Aprašo 29.1.1 ir 29.2.1 papunkčiuose numatytas sąlygas.</w:t>
      </w:r>
    </w:p>
    <w:p w14:paraId="3D60BB06" w14:textId="77777777" w:rsidR="00B811A4" w:rsidRPr="00334F18" w:rsidRDefault="00B811A4" w:rsidP="00D7262F">
      <w:pPr>
        <w:widowControl w:val="0"/>
        <w:tabs>
          <w:tab w:val="left" w:pos="1418"/>
        </w:tabs>
        <w:suppressAutoHyphens/>
        <w:spacing w:line="276" w:lineRule="auto"/>
        <w:jc w:val="center"/>
        <w:textAlignment w:val="center"/>
        <w:rPr>
          <w:lang w:eastAsia="lt-LT"/>
        </w:rPr>
      </w:pPr>
    </w:p>
    <w:p w14:paraId="42F3A222" w14:textId="5811CCF4" w:rsidR="00B811A4" w:rsidRPr="00334F18" w:rsidRDefault="00183F54" w:rsidP="00D7262F">
      <w:pPr>
        <w:tabs>
          <w:tab w:val="left" w:pos="426"/>
        </w:tabs>
        <w:spacing w:line="276" w:lineRule="auto"/>
        <w:jc w:val="both"/>
        <w:rPr>
          <w:b/>
          <w:lang w:eastAsia="lt-LT"/>
        </w:rPr>
      </w:pPr>
      <w:r>
        <w:rPr>
          <w:b/>
          <w:lang w:eastAsia="lt-LT"/>
        </w:rPr>
        <w:t xml:space="preserve">7.1 </w:t>
      </w:r>
      <w:r w:rsidR="00B811A4" w:rsidRPr="00334F18">
        <w:rPr>
          <w:b/>
          <w:lang w:eastAsia="lt-LT"/>
        </w:rPr>
        <w:t xml:space="preserve"> Siūloma (-os) kompensuoti terapinės indikacijos ir skyrimo sąlygos </w:t>
      </w:r>
    </w:p>
    <w:p w14:paraId="179FBABC" w14:textId="77777777" w:rsidR="00B811A4" w:rsidRPr="00334F18" w:rsidRDefault="00B811A4" w:rsidP="00D7262F">
      <w:pPr>
        <w:tabs>
          <w:tab w:val="left" w:pos="426"/>
        </w:tabs>
        <w:spacing w:line="276" w:lineRule="auto"/>
        <w:jc w:val="both"/>
        <w:rPr>
          <w:b/>
          <w:lang w:eastAsia="lt-LT"/>
        </w:rPr>
      </w:pPr>
    </w:p>
    <w:p w14:paraId="65CB839B" w14:textId="77777777" w:rsidR="00B811A4" w:rsidRPr="00334F18" w:rsidRDefault="00B811A4" w:rsidP="00D7262F">
      <w:pPr>
        <w:pStyle w:val="Betarp"/>
        <w:spacing w:line="276" w:lineRule="auto"/>
        <w:rPr>
          <w:rFonts w:ascii="Times New Roman" w:hAnsi="Times New Roman"/>
          <w:b/>
          <w:sz w:val="24"/>
          <w:szCs w:val="24"/>
          <w:lang w:eastAsia="lt-LT"/>
        </w:rPr>
      </w:pPr>
      <w:r w:rsidRPr="00334F18">
        <w:rPr>
          <w:rFonts w:ascii="Times New Roman" w:hAnsi="Times New Roman"/>
          <w:b/>
          <w:sz w:val="24"/>
          <w:szCs w:val="24"/>
          <w:lang w:eastAsia="lt-LT"/>
        </w:rPr>
        <w:t>Terapinės indikacijos</w:t>
      </w:r>
    </w:p>
    <w:p w14:paraId="3BC08150" w14:textId="6F2EBC49" w:rsidR="00B811A4" w:rsidRDefault="00B811A4" w:rsidP="00D7262F">
      <w:pPr>
        <w:pStyle w:val="Betarp"/>
        <w:spacing w:line="276" w:lineRule="auto"/>
        <w:rPr>
          <w:rFonts w:ascii="Times New Roman" w:hAnsi="Times New Roman"/>
          <w:bCs/>
          <w:i/>
          <w:iCs/>
          <w:sz w:val="24"/>
          <w:szCs w:val="24"/>
          <w:lang w:eastAsia="lt-LT"/>
        </w:rPr>
      </w:pPr>
    </w:p>
    <w:p w14:paraId="2147BA3E" w14:textId="77777777" w:rsidR="0044277F" w:rsidRDefault="0044277F" w:rsidP="00D7262F">
      <w:pPr>
        <w:spacing w:line="276" w:lineRule="auto"/>
        <w:jc w:val="both"/>
        <w:rPr>
          <w:lang w:eastAsia="lt-LT"/>
        </w:rPr>
      </w:pPr>
      <w:r>
        <w:rPr>
          <w:lang w:eastAsia="lt-LT"/>
        </w:rPr>
        <w:t>Siūlomos terapinės indikacijos</w:t>
      </w:r>
    </w:p>
    <w:p w14:paraId="57C09159" w14:textId="77777777" w:rsidR="0044277F" w:rsidRDefault="0044277F" w:rsidP="00D7262F">
      <w:pPr>
        <w:spacing w:line="276" w:lineRule="auto"/>
        <w:jc w:val="both"/>
        <w:rPr>
          <w:lang w:eastAsia="lt-LT"/>
        </w:rPr>
      </w:pPr>
    </w:p>
    <w:p w14:paraId="6A6D03DA" w14:textId="77777777" w:rsidR="007B6103" w:rsidRPr="000A178E" w:rsidRDefault="007B6103" w:rsidP="00D7262F">
      <w:pPr>
        <w:spacing w:line="276" w:lineRule="auto"/>
      </w:pPr>
      <w:r w:rsidRPr="000A178E">
        <w:t>IMBRUVICA derinys su rituksimabu, ciklofosfamidu, doksorubicinu, vinkristinu ir prednizolonu (IMBRUVICA + R-CHOP) kaitaliojant su R-DHAP (arba R-DHAOx) be IMBRUVICA, ir toliau skiriant IMBRUVICA monoterapiją, yra skirtas mantijos ląstelių limfoma (MLL) sergančių ir prieš tai negydytų suaugusių pacientų, kuriems tiktų autologinė kamieninių ląstelių transplantacija (AKLT), gydymui.</w:t>
      </w:r>
    </w:p>
    <w:p w14:paraId="79EECE2A" w14:textId="77777777" w:rsidR="00CB7AD6" w:rsidRPr="0027211E" w:rsidRDefault="00CB7AD6" w:rsidP="00D7262F">
      <w:pPr>
        <w:spacing w:line="276" w:lineRule="auto"/>
        <w:jc w:val="both"/>
      </w:pPr>
    </w:p>
    <w:p w14:paraId="2A169B07" w14:textId="7C4F3FC5" w:rsidR="0044277F" w:rsidRPr="00603B3A" w:rsidRDefault="00CB7AD6" w:rsidP="00D7262F">
      <w:pPr>
        <w:pStyle w:val="Betarp"/>
        <w:spacing w:line="276" w:lineRule="auto"/>
        <w:jc w:val="both"/>
        <w:rPr>
          <w:rFonts w:ascii="Times New Roman" w:hAnsi="Times New Roman"/>
          <w:sz w:val="24"/>
          <w:szCs w:val="24"/>
        </w:rPr>
      </w:pPr>
      <w:r w:rsidRPr="0027211E">
        <w:rPr>
          <w:rFonts w:ascii="Times New Roman" w:hAnsi="Times New Roman"/>
          <w:sz w:val="24"/>
          <w:szCs w:val="24"/>
        </w:rPr>
        <w:t>TLK-10 AM kodas – C</w:t>
      </w:r>
      <w:r w:rsidR="007B6103">
        <w:rPr>
          <w:rFonts w:ascii="Times New Roman" w:hAnsi="Times New Roman"/>
          <w:sz w:val="24"/>
          <w:szCs w:val="24"/>
        </w:rPr>
        <w:t>83.1</w:t>
      </w:r>
    </w:p>
    <w:p w14:paraId="2CEFB192" w14:textId="77777777" w:rsidR="00D458B7" w:rsidRPr="00603B3A" w:rsidRDefault="00D458B7" w:rsidP="00D7262F">
      <w:pPr>
        <w:pStyle w:val="Betarp"/>
        <w:spacing w:line="276" w:lineRule="auto"/>
        <w:jc w:val="both"/>
        <w:rPr>
          <w:rFonts w:ascii="Times New Roman" w:hAnsi="Times New Roman"/>
          <w:sz w:val="24"/>
          <w:szCs w:val="24"/>
        </w:rPr>
      </w:pPr>
    </w:p>
    <w:p w14:paraId="027BF59A" w14:textId="57279A37" w:rsidR="00D458B7" w:rsidRPr="00603B3A" w:rsidRDefault="00183F54" w:rsidP="00D7262F">
      <w:pPr>
        <w:pStyle w:val="Betarp"/>
        <w:spacing w:line="276" w:lineRule="auto"/>
        <w:jc w:val="both"/>
        <w:rPr>
          <w:rFonts w:ascii="Times New Roman" w:hAnsi="Times New Roman"/>
          <w:b/>
          <w:sz w:val="24"/>
          <w:szCs w:val="24"/>
        </w:rPr>
      </w:pPr>
      <w:r>
        <w:rPr>
          <w:rFonts w:ascii="Times New Roman" w:hAnsi="Times New Roman"/>
          <w:b/>
          <w:sz w:val="24"/>
          <w:szCs w:val="24"/>
        </w:rPr>
        <w:t xml:space="preserve">7.2 </w:t>
      </w:r>
      <w:r w:rsidR="00D458B7" w:rsidRPr="00603B3A">
        <w:rPr>
          <w:rFonts w:ascii="Times New Roman" w:hAnsi="Times New Roman"/>
          <w:b/>
          <w:sz w:val="24"/>
          <w:szCs w:val="24"/>
        </w:rPr>
        <w:t>Skyrimo sąlygos</w:t>
      </w:r>
    </w:p>
    <w:p w14:paraId="6889B3F7" w14:textId="77777777" w:rsidR="00D458B7" w:rsidRDefault="00D458B7" w:rsidP="00D7262F">
      <w:pPr>
        <w:pStyle w:val="Betarp"/>
        <w:spacing w:line="276" w:lineRule="auto"/>
        <w:jc w:val="both"/>
        <w:rPr>
          <w:rFonts w:ascii="Times New Roman" w:hAnsi="Times New Roman"/>
          <w:i/>
          <w:iCs/>
          <w:sz w:val="24"/>
          <w:szCs w:val="24"/>
        </w:rPr>
      </w:pPr>
    </w:p>
    <w:p w14:paraId="49D4E53C" w14:textId="77777777" w:rsidR="00CE40BC" w:rsidRDefault="00CE40BC" w:rsidP="00D7262F">
      <w:pPr>
        <w:pStyle w:val="Betarp"/>
        <w:spacing w:line="276" w:lineRule="auto"/>
        <w:jc w:val="both"/>
        <w:rPr>
          <w:rFonts w:ascii="Times New Roman" w:hAnsi="Times New Roman"/>
          <w:sz w:val="24"/>
          <w:szCs w:val="24"/>
        </w:rPr>
      </w:pPr>
    </w:p>
    <w:p w14:paraId="085AA25B" w14:textId="77F064BE" w:rsidR="00CE40BC" w:rsidRPr="002D5F07" w:rsidRDefault="00CE40BC" w:rsidP="00D7262F">
      <w:pPr>
        <w:pStyle w:val="Betarp"/>
        <w:spacing w:line="276" w:lineRule="auto"/>
        <w:jc w:val="both"/>
        <w:rPr>
          <w:rFonts w:ascii="Times New Roman" w:hAnsi="Times New Roman"/>
          <w:sz w:val="24"/>
          <w:szCs w:val="24"/>
        </w:rPr>
      </w:pPr>
      <w:r w:rsidRPr="002D5F07">
        <w:rPr>
          <w:rFonts w:ascii="Times New Roman" w:hAnsi="Times New Roman"/>
          <w:sz w:val="24"/>
          <w:szCs w:val="24"/>
        </w:rPr>
        <w:t xml:space="preserve">Skiriamas </w:t>
      </w:r>
      <w:r w:rsidR="00395C3D" w:rsidRPr="002D5F07">
        <w:rPr>
          <w:rFonts w:ascii="Times New Roman" w:hAnsi="Times New Roman"/>
          <w:sz w:val="24"/>
          <w:szCs w:val="24"/>
        </w:rPr>
        <w:t xml:space="preserve">derinyje su </w:t>
      </w:r>
      <w:r w:rsidR="00395C3D" w:rsidRPr="0046419E">
        <w:rPr>
          <w:rFonts w:ascii="Times New Roman" w:hAnsi="Times New Roman"/>
          <w:sz w:val="24"/>
          <w:szCs w:val="24"/>
        </w:rPr>
        <w:t xml:space="preserve">rituksimabu, ciklofosfamidu, doksorubicinu, vinkristinu ir prednizolonu (ibrutinibas + R-CHOP) kaitaliojant su R-DHAP (arba R-DHAOx) be ibrutinibo, ir toliau skiriant </w:t>
      </w:r>
      <w:r w:rsidR="002D5F07" w:rsidRPr="0046419E">
        <w:rPr>
          <w:rFonts w:ascii="Times New Roman" w:hAnsi="Times New Roman"/>
          <w:sz w:val="24"/>
          <w:szCs w:val="24"/>
        </w:rPr>
        <w:t>ibrutinibo</w:t>
      </w:r>
      <w:r w:rsidR="00395C3D" w:rsidRPr="0046419E">
        <w:rPr>
          <w:rFonts w:ascii="Times New Roman" w:hAnsi="Times New Roman"/>
          <w:sz w:val="24"/>
          <w:szCs w:val="24"/>
        </w:rPr>
        <w:t xml:space="preserve"> monoterapij</w:t>
      </w:r>
      <w:r w:rsidR="002D5F07" w:rsidRPr="0046419E">
        <w:rPr>
          <w:rFonts w:ascii="Times New Roman" w:hAnsi="Times New Roman"/>
          <w:sz w:val="24"/>
          <w:szCs w:val="24"/>
        </w:rPr>
        <w:t>ą</w:t>
      </w:r>
      <w:r w:rsidR="00395C3D" w:rsidRPr="0046419E">
        <w:rPr>
          <w:rFonts w:ascii="Times New Roman" w:hAnsi="Times New Roman"/>
          <w:sz w:val="24"/>
          <w:szCs w:val="24"/>
        </w:rPr>
        <w:t>,</w:t>
      </w:r>
      <w:r w:rsidR="002D5F07">
        <w:rPr>
          <w:rFonts w:ascii="Times New Roman" w:hAnsi="Times New Roman"/>
          <w:sz w:val="24"/>
          <w:szCs w:val="24"/>
        </w:rPr>
        <w:t xml:space="preserve"> </w:t>
      </w:r>
      <w:r w:rsidRPr="002D5F07">
        <w:rPr>
          <w:rFonts w:ascii="Times New Roman" w:hAnsi="Times New Roman"/>
          <w:sz w:val="24"/>
          <w:szCs w:val="24"/>
        </w:rPr>
        <w:t xml:space="preserve">mantijos ląstelių limfoma (MLL) sergančių </w:t>
      </w:r>
      <w:r w:rsidR="002D5F07">
        <w:rPr>
          <w:rFonts w:ascii="Times New Roman" w:hAnsi="Times New Roman"/>
          <w:sz w:val="24"/>
          <w:szCs w:val="24"/>
        </w:rPr>
        <w:t xml:space="preserve">ir </w:t>
      </w:r>
      <w:r w:rsidRPr="002D5F07">
        <w:rPr>
          <w:rFonts w:ascii="Times New Roman" w:hAnsi="Times New Roman"/>
          <w:sz w:val="24"/>
          <w:szCs w:val="24"/>
        </w:rPr>
        <w:t xml:space="preserve">prieš tai negydytų suaugusių pacientų, kuriems tiktų autologinė kamieninių ląstelių transplantacija </w:t>
      </w:r>
      <w:r w:rsidR="002D5F07">
        <w:rPr>
          <w:rFonts w:ascii="Times New Roman" w:hAnsi="Times New Roman"/>
          <w:sz w:val="24"/>
          <w:szCs w:val="24"/>
        </w:rPr>
        <w:t>gydymui, laikantis Preparato charakteristikų santraukoje nurodyto dozavimo plano.</w:t>
      </w:r>
    </w:p>
    <w:p w14:paraId="1813333C" w14:textId="77777777" w:rsidR="00CE40BC" w:rsidRPr="002D5F07" w:rsidRDefault="00CE40BC" w:rsidP="00D7262F">
      <w:pPr>
        <w:pStyle w:val="Betarp"/>
        <w:spacing w:line="276" w:lineRule="auto"/>
        <w:jc w:val="both"/>
        <w:rPr>
          <w:rFonts w:ascii="Times New Roman" w:hAnsi="Times New Roman"/>
          <w:sz w:val="24"/>
          <w:szCs w:val="24"/>
        </w:rPr>
      </w:pPr>
    </w:p>
    <w:p w14:paraId="34F0B5AE" w14:textId="77777777" w:rsidR="0046419E" w:rsidRDefault="002D5F07" w:rsidP="00D7262F">
      <w:pPr>
        <w:spacing w:line="276" w:lineRule="auto"/>
        <w:rPr>
          <w:rFonts w:eastAsia="Calibri"/>
          <w:b/>
          <w:bCs/>
          <w:sz w:val="22"/>
          <w:szCs w:val="22"/>
        </w:rPr>
      </w:pPr>
      <w:r w:rsidRPr="0046419E">
        <w:rPr>
          <w:rFonts w:eastAsia="Calibri"/>
          <w:b/>
          <w:bCs/>
          <w:sz w:val="22"/>
          <w:szCs w:val="22"/>
        </w:rPr>
        <w:t>Pastabos</w:t>
      </w:r>
    </w:p>
    <w:p w14:paraId="00A2508A" w14:textId="485D0E0C" w:rsidR="00876274" w:rsidRPr="002D4FD8" w:rsidRDefault="00876274" w:rsidP="00D7262F">
      <w:pPr>
        <w:spacing w:line="276" w:lineRule="auto"/>
      </w:pPr>
      <w:r w:rsidRPr="002D4FD8">
        <w:t>Jei būtų priimtas sprendimas įrašyti šį vaistinį preparatą į kompensavimo sąrašus, būtina pa</w:t>
      </w:r>
      <w:r>
        <w:t xml:space="preserve">pildyti </w:t>
      </w:r>
      <w:r w:rsidRPr="002D4FD8">
        <w:t>kompensavimo sąrašus</w:t>
      </w:r>
      <w:r>
        <w:t>, nurodant</w:t>
      </w:r>
      <w:r w:rsidRPr="002D4FD8">
        <w:t xml:space="preserve"> kitai terapinei indikacijai (TLK kodas </w:t>
      </w:r>
      <w:r w:rsidRPr="0027211E">
        <w:t>C</w:t>
      </w:r>
      <w:r>
        <w:t>83.1</w:t>
      </w:r>
      <w:r w:rsidRPr="002D4FD8">
        <w:t xml:space="preserve">) įrašyto vaistinio preparato </w:t>
      </w:r>
      <w:r>
        <w:rPr>
          <w:rFonts w:eastAsia="Arial"/>
          <w:bCs/>
        </w:rPr>
        <w:t>ibrutinibo</w:t>
      </w:r>
      <w:r w:rsidRPr="002D4FD8">
        <w:t xml:space="preserve"> skyrimo sąlygas. </w:t>
      </w:r>
    </w:p>
    <w:p w14:paraId="4BFA2B57" w14:textId="6DE3FD8F" w:rsidR="00876274" w:rsidRDefault="00876274" w:rsidP="00D7262F">
      <w:pPr>
        <w:spacing w:line="276" w:lineRule="auto"/>
      </w:pPr>
      <w:r>
        <w:t>S</w:t>
      </w:r>
      <w:r w:rsidRPr="002D4FD8">
        <w:t xml:space="preserve">iūlomas įrašyti </w:t>
      </w:r>
      <w:r>
        <w:t>skyrimo sąlygas atitinkančias patvirtintas ibrutinimo terapines indikacijas</w:t>
      </w:r>
      <w:r w:rsidR="009C1D73">
        <w:t>.</w:t>
      </w:r>
    </w:p>
    <w:p w14:paraId="72841569" w14:textId="77777777" w:rsidR="009C1D73" w:rsidRDefault="009C1D73" w:rsidP="00D7262F">
      <w:pPr>
        <w:spacing w:line="276" w:lineRule="auto"/>
        <w:rPr>
          <w:b/>
          <w:bCs/>
        </w:rPr>
      </w:pPr>
    </w:p>
    <w:p w14:paraId="33891D5B" w14:textId="50825645" w:rsidR="00876274" w:rsidRPr="0046419E" w:rsidRDefault="00876274" w:rsidP="00D7262F">
      <w:pPr>
        <w:pStyle w:val="Betarp"/>
        <w:spacing w:line="276" w:lineRule="auto"/>
        <w:jc w:val="both"/>
        <w:rPr>
          <w:rFonts w:ascii="Times New Roman" w:hAnsi="Times New Roman"/>
          <w:b/>
          <w:bCs/>
          <w:sz w:val="24"/>
          <w:szCs w:val="24"/>
        </w:rPr>
      </w:pPr>
      <w:r w:rsidRPr="0046419E">
        <w:rPr>
          <w:rFonts w:ascii="Times New Roman" w:hAnsi="Times New Roman"/>
          <w:b/>
          <w:bCs/>
          <w:sz w:val="24"/>
          <w:szCs w:val="24"/>
        </w:rPr>
        <w:t xml:space="preserve">Skiriamas kaip monoterapija  suaugusių pacientų, sergančių recidyvuojančia arba </w:t>
      </w:r>
      <w:r w:rsidRPr="00876274">
        <w:rPr>
          <w:rFonts w:ascii="Times New Roman" w:hAnsi="Times New Roman"/>
          <w:b/>
          <w:bCs/>
          <w:sz w:val="24"/>
          <w:szCs w:val="24"/>
        </w:rPr>
        <w:t>refrakterine MLL, gydymui.</w:t>
      </w:r>
    </w:p>
    <w:p w14:paraId="33B8DE04" w14:textId="26B32DA0" w:rsidR="00283E59" w:rsidRPr="00334F18" w:rsidRDefault="00283E59" w:rsidP="00D7262F">
      <w:pPr>
        <w:widowControl w:val="0"/>
        <w:tabs>
          <w:tab w:val="left" w:pos="1418"/>
        </w:tabs>
        <w:suppressAutoHyphens/>
        <w:spacing w:line="276" w:lineRule="auto"/>
        <w:jc w:val="center"/>
        <w:textAlignment w:val="center"/>
      </w:pPr>
      <w:r w:rsidRPr="00334F18">
        <w:rPr>
          <w:lang w:eastAsia="lt-LT"/>
        </w:rPr>
        <w:t>___________________________</w:t>
      </w:r>
    </w:p>
    <w:p w14:paraId="562A1372" w14:textId="77777777" w:rsidR="00283E59" w:rsidRPr="00334F18" w:rsidRDefault="00283E59" w:rsidP="00D7262F">
      <w:pPr>
        <w:spacing w:line="276" w:lineRule="auto"/>
        <w:jc w:val="both"/>
        <w:rPr>
          <w:b/>
          <w:sz w:val="20"/>
        </w:rPr>
      </w:pPr>
    </w:p>
    <w:p w14:paraId="7CDFF220" w14:textId="58191D98" w:rsidR="000723FF" w:rsidRPr="00334F18" w:rsidRDefault="000723FF" w:rsidP="00D7262F">
      <w:pPr>
        <w:spacing w:line="276" w:lineRule="auto"/>
        <w:rPr>
          <w:b/>
        </w:rPr>
      </w:pPr>
    </w:p>
    <w:sectPr w:rsidR="000723FF" w:rsidRPr="00334F18" w:rsidSect="00063A50">
      <w:headerReference w:type="first" r:id="rId8"/>
      <w:footerReference w:type="first" r:id="rId9"/>
      <w:pgSz w:w="11907" w:h="16840" w:code="9"/>
      <w:pgMar w:top="1134" w:right="567" w:bottom="1134" w:left="1701" w:header="646" w:footer="0"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E322B" w14:textId="77777777" w:rsidR="008F5ABA" w:rsidRDefault="008F5ABA">
      <w:r>
        <w:separator/>
      </w:r>
    </w:p>
  </w:endnote>
  <w:endnote w:type="continuationSeparator" w:id="0">
    <w:p w14:paraId="58C36C46" w14:textId="77777777" w:rsidR="008F5ABA" w:rsidRDefault="008F5A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00000000"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D3368" w14:textId="77777777" w:rsidR="00347FAA" w:rsidRDefault="00347FAA">
    <w:pPr>
      <w:pStyle w:val="Porat"/>
      <w:jc w:val="right"/>
      <w:rPr>
        <w: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92B24" w14:textId="77777777" w:rsidR="008F5ABA" w:rsidRDefault="008F5ABA">
      <w:r>
        <w:separator/>
      </w:r>
    </w:p>
  </w:footnote>
  <w:footnote w:type="continuationSeparator" w:id="0">
    <w:p w14:paraId="059E0DB5" w14:textId="77777777" w:rsidR="008F5ABA" w:rsidRDefault="008F5A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E1C8F" w14:textId="77777777" w:rsidR="00347FAA" w:rsidRDefault="00347FAA" w:rsidP="00FD793C">
    <w:pPr>
      <w:pStyle w:val="Antrats"/>
      <w:ind w:left="612"/>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7D8E"/>
    <w:multiLevelType w:val="hybridMultilevel"/>
    <w:tmpl w:val="10FAC1CC"/>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 w15:restartNumberingAfterBreak="0">
    <w:nsid w:val="01276250"/>
    <w:multiLevelType w:val="hybridMultilevel"/>
    <w:tmpl w:val="3B6C29F4"/>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9E0081E"/>
    <w:multiLevelType w:val="multilevel"/>
    <w:tmpl w:val="0427001F"/>
    <w:lvl w:ilvl="0">
      <w:start w:val="1"/>
      <w:numFmt w:val="decimal"/>
      <w:lvlText w:val="%1."/>
      <w:lvlJc w:val="left"/>
      <w:pPr>
        <w:ind w:left="360" w:hanging="360"/>
      </w:pPr>
      <w:rPr>
        <w:rFonts w:hint="default"/>
        <w:b w:val="0"/>
        <w:bCs w:val="0"/>
      </w:rPr>
    </w:lvl>
    <w:lvl w:ilvl="1">
      <w:start w:val="1"/>
      <w:numFmt w:val="decimal"/>
      <w:lvlText w:val="%1.%2."/>
      <w:lvlJc w:val="left"/>
      <w:pPr>
        <w:ind w:left="28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2AD2E58"/>
    <w:multiLevelType w:val="hybridMultilevel"/>
    <w:tmpl w:val="F6943F7A"/>
    <w:lvl w:ilvl="0" w:tplc="AB64BC8E">
      <w:start w:val="1"/>
      <w:numFmt w:val="decimal"/>
      <w:lvlText w:val="%1."/>
      <w:lvlJc w:val="left"/>
      <w:pPr>
        <w:ind w:left="643" w:hanging="360"/>
      </w:pPr>
      <w:rPr>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A101C59"/>
    <w:multiLevelType w:val="hybridMultilevel"/>
    <w:tmpl w:val="64544F3A"/>
    <w:lvl w:ilvl="0" w:tplc="04270001">
      <w:start w:val="1"/>
      <w:numFmt w:val="bullet"/>
      <w:lvlText w:val=""/>
      <w:lvlJc w:val="left"/>
      <w:pPr>
        <w:ind w:left="2160" w:hanging="360"/>
      </w:pPr>
      <w:rPr>
        <w:rFonts w:ascii="Symbol" w:hAnsi="Symbol" w:hint="default"/>
      </w:rPr>
    </w:lvl>
    <w:lvl w:ilvl="1" w:tplc="04270003" w:tentative="1">
      <w:start w:val="1"/>
      <w:numFmt w:val="bullet"/>
      <w:lvlText w:val="o"/>
      <w:lvlJc w:val="left"/>
      <w:pPr>
        <w:ind w:left="2880" w:hanging="360"/>
      </w:pPr>
      <w:rPr>
        <w:rFonts w:ascii="Courier New" w:hAnsi="Courier New" w:cs="Courier New" w:hint="default"/>
      </w:rPr>
    </w:lvl>
    <w:lvl w:ilvl="2" w:tplc="04270005" w:tentative="1">
      <w:start w:val="1"/>
      <w:numFmt w:val="bullet"/>
      <w:lvlText w:val=""/>
      <w:lvlJc w:val="left"/>
      <w:pPr>
        <w:ind w:left="3600" w:hanging="360"/>
      </w:pPr>
      <w:rPr>
        <w:rFonts w:ascii="Wingdings" w:hAnsi="Wingdings" w:hint="default"/>
      </w:rPr>
    </w:lvl>
    <w:lvl w:ilvl="3" w:tplc="04270001" w:tentative="1">
      <w:start w:val="1"/>
      <w:numFmt w:val="bullet"/>
      <w:lvlText w:val=""/>
      <w:lvlJc w:val="left"/>
      <w:pPr>
        <w:ind w:left="4320" w:hanging="360"/>
      </w:pPr>
      <w:rPr>
        <w:rFonts w:ascii="Symbol" w:hAnsi="Symbol" w:hint="default"/>
      </w:rPr>
    </w:lvl>
    <w:lvl w:ilvl="4" w:tplc="04270003" w:tentative="1">
      <w:start w:val="1"/>
      <w:numFmt w:val="bullet"/>
      <w:lvlText w:val="o"/>
      <w:lvlJc w:val="left"/>
      <w:pPr>
        <w:ind w:left="5040" w:hanging="360"/>
      </w:pPr>
      <w:rPr>
        <w:rFonts w:ascii="Courier New" w:hAnsi="Courier New" w:cs="Courier New" w:hint="default"/>
      </w:rPr>
    </w:lvl>
    <w:lvl w:ilvl="5" w:tplc="04270005" w:tentative="1">
      <w:start w:val="1"/>
      <w:numFmt w:val="bullet"/>
      <w:lvlText w:val=""/>
      <w:lvlJc w:val="left"/>
      <w:pPr>
        <w:ind w:left="5760" w:hanging="360"/>
      </w:pPr>
      <w:rPr>
        <w:rFonts w:ascii="Wingdings" w:hAnsi="Wingdings" w:hint="default"/>
      </w:rPr>
    </w:lvl>
    <w:lvl w:ilvl="6" w:tplc="04270001" w:tentative="1">
      <w:start w:val="1"/>
      <w:numFmt w:val="bullet"/>
      <w:lvlText w:val=""/>
      <w:lvlJc w:val="left"/>
      <w:pPr>
        <w:ind w:left="6480" w:hanging="360"/>
      </w:pPr>
      <w:rPr>
        <w:rFonts w:ascii="Symbol" w:hAnsi="Symbol" w:hint="default"/>
      </w:rPr>
    </w:lvl>
    <w:lvl w:ilvl="7" w:tplc="04270003" w:tentative="1">
      <w:start w:val="1"/>
      <w:numFmt w:val="bullet"/>
      <w:lvlText w:val="o"/>
      <w:lvlJc w:val="left"/>
      <w:pPr>
        <w:ind w:left="7200" w:hanging="360"/>
      </w:pPr>
      <w:rPr>
        <w:rFonts w:ascii="Courier New" w:hAnsi="Courier New" w:cs="Courier New" w:hint="default"/>
      </w:rPr>
    </w:lvl>
    <w:lvl w:ilvl="8" w:tplc="04270005" w:tentative="1">
      <w:start w:val="1"/>
      <w:numFmt w:val="bullet"/>
      <w:lvlText w:val=""/>
      <w:lvlJc w:val="left"/>
      <w:pPr>
        <w:ind w:left="7920" w:hanging="360"/>
      </w:pPr>
      <w:rPr>
        <w:rFonts w:ascii="Wingdings" w:hAnsi="Wingdings" w:hint="default"/>
      </w:rPr>
    </w:lvl>
  </w:abstractNum>
  <w:abstractNum w:abstractNumId="5" w15:restartNumberingAfterBreak="0">
    <w:nsid w:val="1A816B09"/>
    <w:multiLevelType w:val="hybridMultilevel"/>
    <w:tmpl w:val="8FBEE17A"/>
    <w:lvl w:ilvl="0" w:tplc="0427000F">
      <w:start w:val="16"/>
      <w:numFmt w:val="decimal"/>
      <w:lvlText w:val="%1."/>
      <w:lvlJc w:val="left"/>
      <w:pPr>
        <w:ind w:left="501" w:hanging="360"/>
      </w:pPr>
      <w:rPr>
        <w:rFonts w:hint="default"/>
      </w:rPr>
    </w:lvl>
    <w:lvl w:ilvl="1" w:tplc="04270019" w:tentative="1">
      <w:start w:val="1"/>
      <w:numFmt w:val="lowerLetter"/>
      <w:lvlText w:val="%2."/>
      <w:lvlJc w:val="left"/>
      <w:pPr>
        <w:ind w:left="1581" w:hanging="360"/>
      </w:pPr>
    </w:lvl>
    <w:lvl w:ilvl="2" w:tplc="0427001B" w:tentative="1">
      <w:start w:val="1"/>
      <w:numFmt w:val="lowerRoman"/>
      <w:lvlText w:val="%3."/>
      <w:lvlJc w:val="right"/>
      <w:pPr>
        <w:ind w:left="2301" w:hanging="180"/>
      </w:pPr>
    </w:lvl>
    <w:lvl w:ilvl="3" w:tplc="0427000F" w:tentative="1">
      <w:start w:val="1"/>
      <w:numFmt w:val="decimal"/>
      <w:lvlText w:val="%4."/>
      <w:lvlJc w:val="left"/>
      <w:pPr>
        <w:ind w:left="3021" w:hanging="360"/>
      </w:pPr>
    </w:lvl>
    <w:lvl w:ilvl="4" w:tplc="04270019" w:tentative="1">
      <w:start w:val="1"/>
      <w:numFmt w:val="lowerLetter"/>
      <w:lvlText w:val="%5."/>
      <w:lvlJc w:val="left"/>
      <w:pPr>
        <w:ind w:left="3741" w:hanging="360"/>
      </w:pPr>
    </w:lvl>
    <w:lvl w:ilvl="5" w:tplc="0427001B" w:tentative="1">
      <w:start w:val="1"/>
      <w:numFmt w:val="lowerRoman"/>
      <w:lvlText w:val="%6."/>
      <w:lvlJc w:val="right"/>
      <w:pPr>
        <w:ind w:left="4461" w:hanging="180"/>
      </w:pPr>
    </w:lvl>
    <w:lvl w:ilvl="6" w:tplc="0427000F" w:tentative="1">
      <w:start w:val="1"/>
      <w:numFmt w:val="decimal"/>
      <w:lvlText w:val="%7."/>
      <w:lvlJc w:val="left"/>
      <w:pPr>
        <w:ind w:left="5181" w:hanging="360"/>
      </w:pPr>
    </w:lvl>
    <w:lvl w:ilvl="7" w:tplc="04270019" w:tentative="1">
      <w:start w:val="1"/>
      <w:numFmt w:val="lowerLetter"/>
      <w:lvlText w:val="%8."/>
      <w:lvlJc w:val="left"/>
      <w:pPr>
        <w:ind w:left="5901" w:hanging="360"/>
      </w:pPr>
    </w:lvl>
    <w:lvl w:ilvl="8" w:tplc="0427001B" w:tentative="1">
      <w:start w:val="1"/>
      <w:numFmt w:val="lowerRoman"/>
      <w:lvlText w:val="%9."/>
      <w:lvlJc w:val="right"/>
      <w:pPr>
        <w:ind w:left="6621" w:hanging="180"/>
      </w:pPr>
    </w:lvl>
  </w:abstractNum>
  <w:abstractNum w:abstractNumId="6" w15:restartNumberingAfterBreak="0">
    <w:nsid w:val="1EA97B2D"/>
    <w:multiLevelType w:val="hybridMultilevel"/>
    <w:tmpl w:val="0C3C971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99E4917"/>
    <w:multiLevelType w:val="hybridMultilevel"/>
    <w:tmpl w:val="8C589998"/>
    <w:lvl w:ilvl="0" w:tplc="04090001">
      <w:start w:val="1"/>
      <w:numFmt w:val="bullet"/>
      <w:lvlText w:val=""/>
      <w:lvlJc w:val="left"/>
      <w:pPr>
        <w:ind w:left="1346" w:hanging="360"/>
      </w:pPr>
      <w:rPr>
        <w:rFonts w:ascii="Symbol" w:hAnsi="Symbol" w:hint="default"/>
      </w:rPr>
    </w:lvl>
    <w:lvl w:ilvl="1" w:tplc="04090003" w:tentative="1">
      <w:start w:val="1"/>
      <w:numFmt w:val="bullet"/>
      <w:lvlText w:val="o"/>
      <w:lvlJc w:val="left"/>
      <w:pPr>
        <w:ind w:left="2066" w:hanging="360"/>
      </w:pPr>
      <w:rPr>
        <w:rFonts w:ascii="Courier New" w:hAnsi="Courier New" w:cs="Courier New" w:hint="default"/>
      </w:rPr>
    </w:lvl>
    <w:lvl w:ilvl="2" w:tplc="04090005" w:tentative="1">
      <w:start w:val="1"/>
      <w:numFmt w:val="bullet"/>
      <w:lvlText w:val=""/>
      <w:lvlJc w:val="left"/>
      <w:pPr>
        <w:ind w:left="2786" w:hanging="360"/>
      </w:pPr>
      <w:rPr>
        <w:rFonts w:ascii="Wingdings" w:hAnsi="Wingdings" w:hint="default"/>
      </w:rPr>
    </w:lvl>
    <w:lvl w:ilvl="3" w:tplc="04090001" w:tentative="1">
      <w:start w:val="1"/>
      <w:numFmt w:val="bullet"/>
      <w:lvlText w:val=""/>
      <w:lvlJc w:val="left"/>
      <w:pPr>
        <w:ind w:left="3506" w:hanging="360"/>
      </w:pPr>
      <w:rPr>
        <w:rFonts w:ascii="Symbol" w:hAnsi="Symbol" w:hint="default"/>
      </w:rPr>
    </w:lvl>
    <w:lvl w:ilvl="4" w:tplc="04090003" w:tentative="1">
      <w:start w:val="1"/>
      <w:numFmt w:val="bullet"/>
      <w:lvlText w:val="o"/>
      <w:lvlJc w:val="left"/>
      <w:pPr>
        <w:ind w:left="4226" w:hanging="360"/>
      </w:pPr>
      <w:rPr>
        <w:rFonts w:ascii="Courier New" w:hAnsi="Courier New" w:cs="Courier New" w:hint="default"/>
      </w:rPr>
    </w:lvl>
    <w:lvl w:ilvl="5" w:tplc="04090005" w:tentative="1">
      <w:start w:val="1"/>
      <w:numFmt w:val="bullet"/>
      <w:lvlText w:val=""/>
      <w:lvlJc w:val="left"/>
      <w:pPr>
        <w:ind w:left="4946" w:hanging="360"/>
      </w:pPr>
      <w:rPr>
        <w:rFonts w:ascii="Wingdings" w:hAnsi="Wingdings" w:hint="default"/>
      </w:rPr>
    </w:lvl>
    <w:lvl w:ilvl="6" w:tplc="04090001" w:tentative="1">
      <w:start w:val="1"/>
      <w:numFmt w:val="bullet"/>
      <w:lvlText w:val=""/>
      <w:lvlJc w:val="left"/>
      <w:pPr>
        <w:ind w:left="5666" w:hanging="360"/>
      </w:pPr>
      <w:rPr>
        <w:rFonts w:ascii="Symbol" w:hAnsi="Symbol" w:hint="default"/>
      </w:rPr>
    </w:lvl>
    <w:lvl w:ilvl="7" w:tplc="04090003" w:tentative="1">
      <w:start w:val="1"/>
      <w:numFmt w:val="bullet"/>
      <w:lvlText w:val="o"/>
      <w:lvlJc w:val="left"/>
      <w:pPr>
        <w:ind w:left="6386" w:hanging="360"/>
      </w:pPr>
      <w:rPr>
        <w:rFonts w:ascii="Courier New" w:hAnsi="Courier New" w:cs="Courier New" w:hint="default"/>
      </w:rPr>
    </w:lvl>
    <w:lvl w:ilvl="8" w:tplc="04090005" w:tentative="1">
      <w:start w:val="1"/>
      <w:numFmt w:val="bullet"/>
      <w:lvlText w:val=""/>
      <w:lvlJc w:val="left"/>
      <w:pPr>
        <w:ind w:left="7106" w:hanging="360"/>
      </w:pPr>
      <w:rPr>
        <w:rFonts w:ascii="Wingdings" w:hAnsi="Wingdings" w:hint="default"/>
      </w:rPr>
    </w:lvl>
  </w:abstractNum>
  <w:abstractNum w:abstractNumId="8" w15:restartNumberingAfterBreak="0">
    <w:nsid w:val="3975004F"/>
    <w:multiLevelType w:val="hybridMultilevel"/>
    <w:tmpl w:val="13E46078"/>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9" w15:restartNumberingAfterBreak="0">
    <w:nsid w:val="3BCC4222"/>
    <w:multiLevelType w:val="multilevel"/>
    <w:tmpl w:val="C9C6278E"/>
    <w:lvl w:ilvl="0">
      <w:start w:val="2"/>
      <w:numFmt w:val="decimal"/>
      <w:lvlText w:val="%1."/>
      <w:lvlJc w:val="left"/>
      <w:pPr>
        <w:ind w:left="360" w:hanging="360"/>
      </w:pPr>
      <w:rPr>
        <w:rFonts w:eastAsia="Arial Unicode MS" w:hint="default"/>
      </w:rPr>
    </w:lvl>
    <w:lvl w:ilvl="1">
      <w:start w:val="7"/>
      <w:numFmt w:val="decimal"/>
      <w:lvlText w:val="%1.%2."/>
      <w:lvlJc w:val="left"/>
      <w:pPr>
        <w:ind w:left="720" w:hanging="360"/>
      </w:pPr>
      <w:rPr>
        <w:rFonts w:eastAsia="Arial Unicode MS" w:hint="default"/>
      </w:rPr>
    </w:lvl>
    <w:lvl w:ilvl="2">
      <w:start w:val="1"/>
      <w:numFmt w:val="decimal"/>
      <w:lvlText w:val="%1.%2.%3."/>
      <w:lvlJc w:val="left"/>
      <w:pPr>
        <w:ind w:left="1440" w:hanging="720"/>
      </w:pPr>
      <w:rPr>
        <w:rFonts w:eastAsia="Arial Unicode MS" w:hint="default"/>
      </w:rPr>
    </w:lvl>
    <w:lvl w:ilvl="3">
      <w:start w:val="1"/>
      <w:numFmt w:val="decimal"/>
      <w:lvlText w:val="%1.%2.%3.%4."/>
      <w:lvlJc w:val="left"/>
      <w:pPr>
        <w:ind w:left="1800" w:hanging="720"/>
      </w:pPr>
      <w:rPr>
        <w:rFonts w:eastAsia="Arial Unicode MS" w:hint="default"/>
      </w:rPr>
    </w:lvl>
    <w:lvl w:ilvl="4">
      <w:start w:val="1"/>
      <w:numFmt w:val="decimal"/>
      <w:lvlText w:val="%1.%2.%3.%4.%5."/>
      <w:lvlJc w:val="left"/>
      <w:pPr>
        <w:ind w:left="2520" w:hanging="1080"/>
      </w:pPr>
      <w:rPr>
        <w:rFonts w:eastAsia="Arial Unicode MS" w:hint="default"/>
      </w:rPr>
    </w:lvl>
    <w:lvl w:ilvl="5">
      <w:start w:val="1"/>
      <w:numFmt w:val="decimal"/>
      <w:lvlText w:val="%1.%2.%3.%4.%5.%6."/>
      <w:lvlJc w:val="left"/>
      <w:pPr>
        <w:ind w:left="2880" w:hanging="1080"/>
      </w:pPr>
      <w:rPr>
        <w:rFonts w:eastAsia="Arial Unicode MS" w:hint="default"/>
      </w:rPr>
    </w:lvl>
    <w:lvl w:ilvl="6">
      <w:start w:val="1"/>
      <w:numFmt w:val="decimal"/>
      <w:lvlText w:val="%1.%2.%3.%4.%5.%6.%7."/>
      <w:lvlJc w:val="left"/>
      <w:pPr>
        <w:ind w:left="3600" w:hanging="1440"/>
      </w:pPr>
      <w:rPr>
        <w:rFonts w:eastAsia="Arial Unicode MS" w:hint="default"/>
      </w:rPr>
    </w:lvl>
    <w:lvl w:ilvl="7">
      <w:start w:val="1"/>
      <w:numFmt w:val="decimal"/>
      <w:lvlText w:val="%1.%2.%3.%4.%5.%6.%7.%8."/>
      <w:lvlJc w:val="left"/>
      <w:pPr>
        <w:ind w:left="3960" w:hanging="1440"/>
      </w:pPr>
      <w:rPr>
        <w:rFonts w:eastAsia="Arial Unicode MS" w:hint="default"/>
      </w:rPr>
    </w:lvl>
    <w:lvl w:ilvl="8">
      <w:start w:val="1"/>
      <w:numFmt w:val="decimal"/>
      <w:lvlText w:val="%1.%2.%3.%4.%5.%6.%7.%8.%9."/>
      <w:lvlJc w:val="left"/>
      <w:pPr>
        <w:ind w:left="4680" w:hanging="1800"/>
      </w:pPr>
      <w:rPr>
        <w:rFonts w:eastAsia="Arial Unicode MS" w:hint="default"/>
      </w:rPr>
    </w:lvl>
  </w:abstractNum>
  <w:abstractNum w:abstractNumId="10" w15:restartNumberingAfterBreak="0">
    <w:nsid w:val="41953EAB"/>
    <w:multiLevelType w:val="hybridMultilevel"/>
    <w:tmpl w:val="D0F01B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9B0191"/>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25F44CC"/>
    <w:multiLevelType w:val="hybridMultilevel"/>
    <w:tmpl w:val="0EEE1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C16F8D"/>
    <w:multiLevelType w:val="hybridMultilevel"/>
    <w:tmpl w:val="A34C0904"/>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4" w15:restartNumberingAfterBreak="0">
    <w:nsid w:val="562D420F"/>
    <w:multiLevelType w:val="multilevel"/>
    <w:tmpl w:val="08A61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B83C1B"/>
    <w:multiLevelType w:val="multilevel"/>
    <w:tmpl w:val="5F384374"/>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16" w15:restartNumberingAfterBreak="0">
    <w:nsid w:val="5A0D73F3"/>
    <w:multiLevelType w:val="hybridMultilevel"/>
    <w:tmpl w:val="CA9A2AC8"/>
    <w:lvl w:ilvl="0" w:tplc="0427000F">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7712B93"/>
    <w:multiLevelType w:val="hybridMultilevel"/>
    <w:tmpl w:val="B2D88A5C"/>
    <w:lvl w:ilvl="0" w:tplc="0BA05A5A">
      <w:start w:val="199"/>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6AB27E1E"/>
    <w:multiLevelType w:val="hybridMultilevel"/>
    <w:tmpl w:val="3D568A5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72266018"/>
    <w:multiLevelType w:val="hybridMultilevel"/>
    <w:tmpl w:val="AA9C989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7823337A"/>
    <w:multiLevelType w:val="hybridMultilevel"/>
    <w:tmpl w:val="05B2F4F0"/>
    <w:lvl w:ilvl="0" w:tplc="7B748F7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F2C03D5"/>
    <w:multiLevelType w:val="hybridMultilevel"/>
    <w:tmpl w:val="3D184942"/>
    <w:lvl w:ilvl="0" w:tplc="0427000F">
      <w:start w:val="1"/>
      <w:numFmt w:val="decimal"/>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num w:numId="1" w16cid:durableId="1681809233">
    <w:abstractNumId w:val="10"/>
  </w:num>
  <w:num w:numId="2" w16cid:durableId="1423800750">
    <w:abstractNumId w:val="2"/>
  </w:num>
  <w:num w:numId="3" w16cid:durableId="989746410">
    <w:abstractNumId w:val="15"/>
  </w:num>
  <w:num w:numId="4" w16cid:durableId="1858691766">
    <w:abstractNumId w:val="11"/>
  </w:num>
  <w:num w:numId="5" w16cid:durableId="1279484895">
    <w:abstractNumId w:val="9"/>
  </w:num>
  <w:num w:numId="6" w16cid:durableId="2099446644">
    <w:abstractNumId w:val="8"/>
  </w:num>
  <w:num w:numId="7" w16cid:durableId="306280455">
    <w:abstractNumId w:val="4"/>
  </w:num>
  <w:num w:numId="8" w16cid:durableId="983391336">
    <w:abstractNumId w:val="19"/>
  </w:num>
  <w:num w:numId="9" w16cid:durableId="1031804737">
    <w:abstractNumId w:val="0"/>
  </w:num>
  <w:num w:numId="10" w16cid:durableId="1083717903">
    <w:abstractNumId w:val="16"/>
  </w:num>
  <w:num w:numId="11" w16cid:durableId="36899513">
    <w:abstractNumId w:val="18"/>
  </w:num>
  <w:num w:numId="12" w16cid:durableId="1037466703">
    <w:abstractNumId w:val="3"/>
  </w:num>
  <w:num w:numId="13" w16cid:durableId="707947765">
    <w:abstractNumId w:val="5"/>
  </w:num>
  <w:num w:numId="14" w16cid:durableId="503208153">
    <w:abstractNumId w:val="1"/>
  </w:num>
  <w:num w:numId="15" w16cid:durableId="1709722561">
    <w:abstractNumId w:val="7"/>
  </w:num>
  <w:num w:numId="16" w16cid:durableId="525869206">
    <w:abstractNumId w:val="20"/>
  </w:num>
  <w:num w:numId="17" w16cid:durableId="298612102">
    <w:abstractNumId w:val="13"/>
  </w:num>
  <w:num w:numId="18" w16cid:durableId="692539027">
    <w:abstractNumId w:val="12"/>
  </w:num>
  <w:num w:numId="19" w16cid:durableId="1215969081">
    <w:abstractNumId w:val="17"/>
  </w:num>
  <w:num w:numId="20" w16cid:durableId="1450316805">
    <w:abstractNumId w:val="14"/>
  </w:num>
  <w:num w:numId="21" w16cid:durableId="1011957267">
    <w:abstractNumId w:val="6"/>
  </w:num>
  <w:num w:numId="22" w16cid:durableId="150624597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0E7"/>
    <w:rsid w:val="000001B0"/>
    <w:rsid w:val="00003F5B"/>
    <w:rsid w:val="000114DD"/>
    <w:rsid w:val="000136F7"/>
    <w:rsid w:val="000203E1"/>
    <w:rsid w:val="0002686C"/>
    <w:rsid w:val="00031D0E"/>
    <w:rsid w:val="000337E6"/>
    <w:rsid w:val="0003402E"/>
    <w:rsid w:val="00034EAE"/>
    <w:rsid w:val="00042924"/>
    <w:rsid w:val="000448C6"/>
    <w:rsid w:val="00052BD8"/>
    <w:rsid w:val="00053975"/>
    <w:rsid w:val="00057A2B"/>
    <w:rsid w:val="000606BE"/>
    <w:rsid w:val="000624FF"/>
    <w:rsid w:val="00063A50"/>
    <w:rsid w:val="000723FF"/>
    <w:rsid w:val="000736B8"/>
    <w:rsid w:val="0008190F"/>
    <w:rsid w:val="00081D9C"/>
    <w:rsid w:val="00082907"/>
    <w:rsid w:val="0008378D"/>
    <w:rsid w:val="000908A5"/>
    <w:rsid w:val="00092805"/>
    <w:rsid w:val="000A50C9"/>
    <w:rsid w:val="000B2B2C"/>
    <w:rsid w:val="000B76AD"/>
    <w:rsid w:val="000C454C"/>
    <w:rsid w:val="000D5038"/>
    <w:rsid w:val="000E29D4"/>
    <w:rsid w:val="000F3540"/>
    <w:rsid w:val="00100491"/>
    <w:rsid w:val="00104E2E"/>
    <w:rsid w:val="00107287"/>
    <w:rsid w:val="00116BE7"/>
    <w:rsid w:val="00117194"/>
    <w:rsid w:val="00117406"/>
    <w:rsid w:val="00121EF0"/>
    <w:rsid w:val="00124A9E"/>
    <w:rsid w:val="00130703"/>
    <w:rsid w:val="0013153F"/>
    <w:rsid w:val="001408B8"/>
    <w:rsid w:val="001466FE"/>
    <w:rsid w:val="001517E2"/>
    <w:rsid w:val="001521D9"/>
    <w:rsid w:val="00155310"/>
    <w:rsid w:val="001554E2"/>
    <w:rsid w:val="00164146"/>
    <w:rsid w:val="00164D64"/>
    <w:rsid w:val="0017369C"/>
    <w:rsid w:val="00175D57"/>
    <w:rsid w:val="00180C39"/>
    <w:rsid w:val="00180D96"/>
    <w:rsid w:val="00183F54"/>
    <w:rsid w:val="00184BD3"/>
    <w:rsid w:val="001908D6"/>
    <w:rsid w:val="001921F3"/>
    <w:rsid w:val="001A0CAA"/>
    <w:rsid w:val="001B3C5B"/>
    <w:rsid w:val="001C2FC8"/>
    <w:rsid w:val="001C6353"/>
    <w:rsid w:val="001D5B91"/>
    <w:rsid w:val="001D746F"/>
    <w:rsid w:val="001E0B2D"/>
    <w:rsid w:val="001E4BBB"/>
    <w:rsid w:val="001E6304"/>
    <w:rsid w:val="001F115E"/>
    <w:rsid w:val="0020381E"/>
    <w:rsid w:val="00213471"/>
    <w:rsid w:val="00215906"/>
    <w:rsid w:val="00241CD8"/>
    <w:rsid w:val="00244B09"/>
    <w:rsid w:val="002519CB"/>
    <w:rsid w:val="0025697F"/>
    <w:rsid w:val="00260258"/>
    <w:rsid w:val="00260AA8"/>
    <w:rsid w:val="0026588E"/>
    <w:rsid w:val="00272428"/>
    <w:rsid w:val="00272948"/>
    <w:rsid w:val="00283E59"/>
    <w:rsid w:val="00292392"/>
    <w:rsid w:val="002946C7"/>
    <w:rsid w:val="002A3BE2"/>
    <w:rsid w:val="002B3CC1"/>
    <w:rsid w:val="002C0686"/>
    <w:rsid w:val="002C09E0"/>
    <w:rsid w:val="002C100E"/>
    <w:rsid w:val="002C1BB1"/>
    <w:rsid w:val="002C2786"/>
    <w:rsid w:val="002C3A10"/>
    <w:rsid w:val="002C4A90"/>
    <w:rsid w:val="002C4ED5"/>
    <w:rsid w:val="002C7BF9"/>
    <w:rsid w:val="002D02EF"/>
    <w:rsid w:val="002D5F07"/>
    <w:rsid w:val="002E0702"/>
    <w:rsid w:val="002E1A83"/>
    <w:rsid w:val="002E57AD"/>
    <w:rsid w:val="002E6F80"/>
    <w:rsid w:val="002F0E4F"/>
    <w:rsid w:val="002F1053"/>
    <w:rsid w:val="00314816"/>
    <w:rsid w:val="00317B0E"/>
    <w:rsid w:val="00334F18"/>
    <w:rsid w:val="00336238"/>
    <w:rsid w:val="00337068"/>
    <w:rsid w:val="00347FAA"/>
    <w:rsid w:val="0035172D"/>
    <w:rsid w:val="0036187D"/>
    <w:rsid w:val="00367EDB"/>
    <w:rsid w:val="003705F0"/>
    <w:rsid w:val="00381024"/>
    <w:rsid w:val="00386307"/>
    <w:rsid w:val="003874DE"/>
    <w:rsid w:val="00393E9F"/>
    <w:rsid w:val="00395C3D"/>
    <w:rsid w:val="0039696E"/>
    <w:rsid w:val="003B211A"/>
    <w:rsid w:val="003C141F"/>
    <w:rsid w:val="003C6B0E"/>
    <w:rsid w:val="003C7257"/>
    <w:rsid w:val="003C74F5"/>
    <w:rsid w:val="003C7E35"/>
    <w:rsid w:val="003D1E99"/>
    <w:rsid w:val="003D6208"/>
    <w:rsid w:val="00404E8A"/>
    <w:rsid w:val="0040622F"/>
    <w:rsid w:val="00410008"/>
    <w:rsid w:val="00413F24"/>
    <w:rsid w:val="004208D0"/>
    <w:rsid w:val="00422853"/>
    <w:rsid w:val="00423160"/>
    <w:rsid w:val="00437623"/>
    <w:rsid w:val="0044277F"/>
    <w:rsid w:val="00444A2B"/>
    <w:rsid w:val="00453862"/>
    <w:rsid w:val="0045469B"/>
    <w:rsid w:val="00456918"/>
    <w:rsid w:val="00461338"/>
    <w:rsid w:val="00461A86"/>
    <w:rsid w:val="0046419E"/>
    <w:rsid w:val="004677DB"/>
    <w:rsid w:val="00476256"/>
    <w:rsid w:val="0048630F"/>
    <w:rsid w:val="004947A1"/>
    <w:rsid w:val="0049482A"/>
    <w:rsid w:val="004979D3"/>
    <w:rsid w:val="004A00E7"/>
    <w:rsid w:val="004A12D0"/>
    <w:rsid w:val="004A3A61"/>
    <w:rsid w:val="004B59BA"/>
    <w:rsid w:val="004B5A03"/>
    <w:rsid w:val="004C263A"/>
    <w:rsid w:val="004C6221"/>
    <w:rsid w:val="004D47D1"/>
    <w:rsid w:val="004D48A6"/>
    <w:rsid w:val="004D70B6"/>
    <w:rsid w:val="004D7B8F"/>
    <w:rsid w:val="004E241F"/>
    <w:rsid w:val="004E35E3"/>
    <w:rsid w:val="004E6458"/>
    <w:rsid w:val="004E6E7D"/>
    <w:rsid w:val="004F1AAC"/>
    <w:rsid w:val="004F1AE2"/>
    <w:rsid w:val="004F34F0"/>
    <w:rsid w:val="004F3B2B"/>
    <w:rsid w:val="004F59E4"/>
    <w:rsid w:val="004F6050"/>
    <w:rsid w:val="005005EF"/>
    <w:rsid w:val="005123C2"/>
    <w:rsid w:val="0052144B"/>
    <w:rsid w:val="00524066"/>
    <w:rsid w:val="00526A0F"/>
    <w:rsid w:val="00534E11"/>
    <w:rsid w:val="005378D8"/>
    <w:rsid w:val="005400D9"/>
    <w:rsid w:val="005401A9"/>
    <w:rsid w:val="00544AEC"/>
    <w:rsid w:val="005476A4"/>
    <w:rsid w:val="0055019B"/>
    <w:rsid w:val="0055025C"/>
    <w:rsid w:val="00556E63"/>
    <w:rsid w:val="005601A4"/>
    <w:rsid w:val="00566DBB"/>
    <w:rsid w:val="00567B14"/>
    <w:rsid w:val="005767DB"/>
    <w:rsid w:val="005815E6"/>
    <w:rsid w:val="0058712F"/>
    <w:rsid w:val="005976CE"/>
    <w:rsid w:val="00597C52"/>
    <w:rsid w:val="005A23D4"/>
    <w:rsid w:val="005A2D1E"/>
    <w:rsid w:val="005A4698"/>
    <w:rsid w:val="005B3756"/>
    <w:rsid w:val="005B6604"/>
    <w:rsid w:val="005C493F"/>
    <w:rsid w:val="005C6BF7"/>
    <w:rsid w:val="005C71BF"/>
    <w:rsid w:val="005D002C"/>
    <w:rsid w:val="005D30E1"/>
    <w:rsid w:val="005D6555"/>
    <w:rsid w:val="005D7BDF"/>
    <w:rsid w:val="005E4870"/>
    <w:rsid w:val="005F09E3"/>
    <w:rsid w:val="005F71D9"/>
    <w:rsid w:val="005F7602"/>
    <w:rsid w:val="006062BE"/>
    <w:rsid w:val="00610D85"/>
    <w:rsid w:val="00613143"/>
    <w:rsid w:val="00613501"/>
    <w:rsid w:val="0061611B"/>
    <w:rsid w:val="006166A8"/>
    <w:rsid w:val="006174A1"/>
    <w:rsid w:val="00621D6C"/>
    <w:rsid w:val="00633B49"/>
    <w:rsid w:val="0064297F"/>
    <w:rsid w:val="00645102"/>
    <w:rsid w:val="00646CF3"/>
    <w:rsid w:val="00653D11"/>
    <w:rsid w:val="00662983"/>
    <w:rsid w:val="006834D3"/>
    <w:rsid w:val="00692625"/>
    <w:rsid w:val="00695CD3"/>
    <w:rsid w:val="006A38B6"/>
    <w:rsid w:val="006B1987"/>
    <w:rsid w:val="006B5B71"/>
    <w:rsid w:val="006B5D3E"/>
    <w:rsid w:val="006B6CB0"/>
    <w:rsid w:val="006C2B64"/>
    <w:rsid w:val="006D1BF3"/>
    <w:rsid w:val="006D4C85"/>
    <w:rsid w:val="006D66AC"/>
    <w:rsid w:val="006E33F6"/>
    <w:rsid w:val="006F1251"/>
    <w:rsid w:val="006F1C23"/>
    <w:rsid w:val="00702C18"/>
    <w:rsid w:val="00703166"/>
    <w:rsid w:val="007111C4"/>
    <w:rsid w:val="007127F3"/>
    <w:rsid w:val="007301CF"/>
    <w:rsid w:val="007316FB"/>
    <w:rsid w:val="00737E2D"/>
    <w:rsid w:val="007424D5"/>
    <w:rsid w:val="00745C63"/>
    <w:rsid w:val="00750A88"/>
    <w:rsid w:val="007523DD"/>
    <w:rsid w:val="00757B7E"/>
    <w:rsid w:val="007656B2"/>
    <w:rsid w:val="0077016F"/>
    <w:rsid w:val="007713AD"/>
    <w:rsid w:val="00771D70"/>
    <w:rsid w:val="00772F40"/>
    <w:rsid w:val="00795DC5"/>
    <w:rsid w:val="00797153"/>
    <w:rsid w:val="007A21F7"/>
    <w:rsid w:val="007A2B68"/>
    <w:rsid w:val="007B0DDA"/>
    <w:rsid w:val="007B6103"/>
    <w:rsid w:val="007D3347"/>
    <w:rsid w:val="007D654E"/>
    <w:rsid w:val="007E5466"/>
    <w:rsid w:val="007F1949"/>
    <w:rsid w:val="007F2592"/>
    <w:rsid w:val="007F6C04"/>
    <w:rsid w:val="00800A08"/>
    <w:rsid w:val="00817A84"/>
    <w:rsid w:val="008225A4"/>
    <w:rsid w:val="00824B92"/>
    <w:rsid w:val="00826D5E"/>
    <w:rsid w:val="00832013"/>
    <w:rsid w:val="00832DB7"/>
    <w:rsid w:val="00834732"/>
    <w:rsid w:val="00834C48"/>
    <w:rsid w:val="00844936"/>
    <w:rsid w:val="0085200C"/>
    <w:rsid w:val="00853487"/>
    <w:rsid w:val="00857C52"/>
    <w:rsid w:val="008606F5"/>
    <w:rsid w:val="00860D5F"/>
    <w:rsid w:val="00876274"/>
    <w:rsid w:val="00880A44"/>
    <w:rsid w:val="0088345E"/>
    <w:rsid w:val="0088656F"/>
    <w:rsid w:val="008875BC"/>
    <w:rsid w:val="00891EF6"/>
    <w:rsid w:val="00892FF4"/>
    <w:rsid w:val="0089345A"/>
    <w:rsid w:val="008A0303"/>
    <w:rsid w:val="008A5FDD"/>
    <w:rsid w:val="008C3947"/>
    <w:rsid w:val="008E473B"/>
    <w:rsid w:val="008E51A6"/>
    <w:rsid w:val="008E7329"/>
    <w:rsid w:val="008F2ED5"/>
    <w:rsid w:val="008F5ABA"/>
    <w:rsid w:val="0090044C"/>
    <w:rsid w:val="0092297E"/>
    <w:rsid w:val="00923292"/>
    <w:rsid w:val="00923651"/>
    <w:rsid w:val="00924DF7"/>
    <w:rsid w:val="00927B56"/>
    <w:rsid w:val="009341BF"/>
    <w:rsid w:val="00937907"/>
    <w:rsid w:val="00941739"/>
    <w:rsid w:val="00945479"/>
    <w:rsid w:val="00951573"/>
    <w:rsid w:val="00963003"/>
    <w:rsid w:val="00965919"/>
    <w:rsid w:val="00966EEF"/>
    <w:rsid w:val="00971B28"/>
    <w:rsid w:val="00972BD8"/>
    <w:rsid w:val="00983471"/>
    <w:rsid w:val="009909AB"/>
    <w:rsid w:val="009B37DB"/>
    <w:rsid w:val="009C1D73"/>
    <w:rsid w:val="009C4ABB"/>
    <w:rsid w:val="009C7A8C"/>
    <w:rsid w:val="009D23F9"/>
    <w:rsid w:val="009D4FA8"/>
    <w:rsid w:val="009E44AE"/>
    <w:rsid w:val="009E6CD6"/>
    <w:rsid w:val="009F4D66"/>
    <w:rsid w:val="00A00C3C"/>
    <w:rsid w:val="00A01091"/>
    <w:rsid w:val="00A042B9"/>
    <w:rsid w:val="00A06DBB"/>
    <w:rsid w:val="00A22478"/>
    <w:rsid w:val="00A22ADF"/>
    <w:rsid w:val="00A2310D"/>
    <w:rsid w:val="00A254A2"/>
    <w:rsid w:val="00A31E86"/>
    <w:rsid w:val="00A54D87"/>
    <w:rsid w:val="00A5553C"/>
    <w:rsid w:val="00A701C9"/>
    <w:rsid w:val="00A81785"/>
    <w:rsid w:val="00A84803"/>
    <w:rsid w:val="00A84C51"/>
    <w:rsid w:val="00A86F2B"/>
    <w:rsid w:val="00A91366"/>
    <w:rsid w:val="00A92F91"/>
    <w:rsid w:val="00A93AA6"/>
    <w:rsid w:val="00AA4E48"/>
    <w:rsid w:val="00AA6202"/>
    <w:rsid w:val="00AA7B57"/>
    <w:rsid w:val="00AB2806"/>
    <w:rsid w:val="00AB2D54"/>
    <w:rsid w:val="00AC26FC"/>
    <w:rsid w:val="00AC4A99"/>
    <w:rsid w:val="00AC5129"/>
    <w:rsid w:val="00AC64D2"/>
    <w:rsid w:val="00AD02E7"/>
    <w:rsid w:val="00AE0FE8"/>
    <w:rsid w:val="00AE3D8F"/>
    <w:rsid w:val="00AF60D5"/>
    <w:rsid w:val="00B00959"/>
    <w:rsid w:val="00B04415"/>
    <w:rsid w:val="00B06509"/>
    <w:rsid w:val="00B11D60"/>
    <w:rsid w:val="00B13D65"/>
    <w:rsid w:val="00B21805"/>
    <w:rsid w:val="00B3072E"/>
    <w:rsid w:val="00B36E15"/>
    <w:rsid w:val="00B37245"/>
    <w:rsid w:val="00B4017A"/>
    <w:rsid w:val="00B4468D"/>
    <w:rsid w:val="00B71C72"/>
    <w:rsid w:val="00B71F04"/>
    <w:rsid w:val="00B74A62"/>
    <w:rsid w:val="00B811A4"/>
    <w:rsid w:val="00B81E92"/>
    <w:rsid w:val="00B908D7"/>
    <w:rsid w:val="00B935E8"/>
    <w:rsid w:val="00B93B30"/>
    <w:rsid w:val="00B94CB5"/>
    <w:rsid w:val="00BA0DD9"/>
    <w:rsid w:val="00BA5DBC"/>
    <w:rsid w:val="00BA6584"/>
    <w:rsid w:val="00BB6312"/>
    <w:rsid w:val="00BC39C2"/>
    <w:rsid w:val="00BC4D06"/>
    <w:rsid w:val="00BD05E1"/>
    <w:rsid w:val="00BD585E"/>
    <w:rsid w:val="00BD6919"/>
    <w:rsid w:val="00BE1EA7"/>
    <w:rsid w:val="00BE7489"/>
    <w:rsid w:val="00BF2E0D"/>
    <w:rsid w:val="00BF3927"/>
    <w:rsid w:val="00BF3F8B"/>
    <w:rsid w:val="00BF76DA"/>
    <w:rsid w:val="00C00CDB"/>
    <w:rsid w:val="00C02715"/>
    <w:rsid w:val="00C07C7B"/>
    <w:rsid w:val="00C16245"/>
    <w:rsid w:val="00C22DC5"/>
    <w:rsid w:val="00C24479"/>
    <w:rsid w:val="00C273F2"/>
    <w:rsid w:val="00C37B53"/>
    <w:rsid w:val="00C434EB"/>
    <w:rsid w:val="00C517D2"/>
    <w:rsid w:val="00C5772E"/>
    <w:rsid w:val="00C62B36"/>
    <w:rsid w:val="00C7012C"/>
    <w:rsid w:val="00C712EA"/>
    <w:rsid w:val="00C9728E"/>
    <w:rsid w:val="00CA217D"/>
    <w:rsid w:val="00CA3131"/>
    <w:rsid w:val="00CB7AD6"/>
    <w:rsid w:val="00CC09D4"/>
    <w:rsid w:val="00CC4F5F"/>
    <w:rsid w:val="00CC668D"/>
    <w:rsid w:val="00CC7832"/>
    <w:rsid w:val="00CC78F3"/>
    <w:rsid w:val="00CD488E"/>
    <w:rsid w:val="00CE40BC"/>
    <w:rsid w:val="00CE4B0B"/>
    <w:rsid w:val="00CF0C1C"/>
    <w:rsid w:val="00CF27FD"/>
    <w:rsid w:val="00CF3416"/>
    <w:rsid w:val="00CF5F12"/>
    <w:rsid w:val="00D00D8F"/>
    <w:rsid w:val="00D12869"/>
    <w:rsid w:val="00D14512"/>
    <w:rsid w:val="00D15ED6"/>
    <w:rsid w:val="00D21F3A"/>
    <w:rsid w:val="00D23808"/>
    <w:rsid w:val="00D3016A"/>
    <w:rsid w:val="00D417D2"/>
    <w:rsid w:val="00D42960"/>
    <w:rsid w:val="00D43BD7"/>
    <w:rsid w:val="00D4485B"/>
    <w:rsid w:val="00D458B7"/>
    <w:rsid w:val="00D46CCD"/>
    <w:rsid w:val="00D4708D"/>
    <w:rsid w:val="00D4744C"/>
    <w:rsid w:val="00D506E4"/>
    <w:rsid w:val="00D51046"/>
    <w:rsid w:val="00D521DE"/>
    <w:rsid w:val="00D5470B"/>
    <w:rsid w:val="00D63068"/>
    <w:rsid w:val="00D6498C"/>
    <w:rsid w:val="00D67BAF"/>
    <w:rsid w:val="00D7262F"/>
    <w:rsid w:val="00D76A70"/>
    <w:rsid w:val="00D80989"/>
    <w:rsid w:val="00D83182"/>
    <w:rsid w:val="00D8521E"/>
    <w:rsid w:val="00D9291C"/>
    <w:rsid w:val="00D93A97"/>
    <w:rsid w:val="00D957FE"/>
    <w:rsid w:val="00DA5602"/>
    <w:rsid w:val="00DB1F64"/>
    <w:rsid w:val="00DC261A"/>
    <w:rsid w:val="00DC2F53"/>
    <w:rsid w:val="00DC5BAC"/>
    <w:rsid w:val="00DC6816"/>
    <w:rsid w:val="00DC76C2"/>
    <w:rsid w:val="00DD1CF2"/>
    <w:rsid w:val="00DE4484"/>
    <w:rsid w:val="00DF41B7"/>
    <w:rsid w:val="00DF4A4A"/>
    <w:rsid w:val="00DF583C"/>
    <w:rsid w:val="00E03C3F"/>
    <w:rsid w:val="00E06FD7"/>
    <w:rsid w:val="00E07417"/>
    <w:rsid w:val="00E24D45"/>
    <w:rsid w:val="00E33DB8"/>
    <w:rsid w:val="00E33EFF"/>
    <w:rsid w:val="00E34387"/>
    <w:rsid w:val="00E348BA"/>
    <w:rsid w:val="00E369FE"/>
    <w:rsid w:val="00E37C6F"/>
    <w:rsid w:val="00E475F8"/>
    <w:rsid w:val="00E5102E"/>
    <w:rsid w:val="00E5721C"/>
    <w:rsid w:val="00E619C6"/>
    <w:rsid w:val="00E70CED"/>
    <w:rsid w:val="00E745A1"/>
    <w:rsid w:val="00E76118"/>
    <w:rsid w:val="00E81529"/>
    <w:rsid w:val="00E83A13"/>
    <w:rsid w:val="00EB1151"/>
    <w:rsid w:val="00EB6FC5"/>
    <w:rsid w:val="00EC2356"/>
    <w:rsid w:val="00EC2582"/>
    <w:rsid w:val="00EC337C"/>
    <w:rsid w:val="00ED0CFF"/>
    <w:rsid w:val="00ED31D2"/>
    <w:rsid w:val="00EE0EAC"/>
    <w:rsid w:val="00EE3322"/>
    <w:rsid w:val="00EE33CB"/>
    <w:rsid w:val="00F0061A"/>
    <w:rsid w:val="00F02834"/>
    <w:rsid w:val="00F04EEB"/>
    <w:rsid w:val="00F05467"/>
    <w:rsid w:val="00F055D2"/>
    <w:rsid w:val="00F07CD7"/>
    <w:rsid w:val="00F127E9"/>
    <w:rsid w:val="00F14477"/>
    <w:rsid w:val="00F14B5D"/>
    <w:rsid w:val="00F259FC"/>
    <w:rsid w:val="00F313F4"/>
    <w:rsid w:val="00F36972"/>
    <w:rsid w:val="00F42426"/>
    <w:rsid w:val="00F44F01"/>
    <w:rsid w:val="00F456BC"/>
    <w:rsid w:val="00F50666"/>
    <w:rsid w:val="00F65828"/>
    <w:rsid w:val="00F70731"/>
    <w:rsid w:val="00F70C9E"/>
    <w:rsid w:val="00F74A74"/>
    <w:rsid w:val="00F7572C"/>
    <w:rsid w:val="00F8382C"/>
    <w:rsid w:val="00F855D7"/>
    <w:rsid w:val="00F86ED6"/>
    <w:rsid w:val="00F92035"/>
    <w:rsid w:val="00F92748"/>
    <w:rsid w:val="00FA4169"/>
    <w:rsid w:val="00FB0D41"/>
    <w:rsid w:val="00FB2030"/>
    <w:rsid w:val="00FC1403"/>
    <w:rsid w:val="00FC7968"/>
    <w:rsid w:val="00FD0E46"/>
    <w:rsid w:val="00FD1060"/>
    <w:rsid w:val="00FD1CF2"/>
    <w:rsid w:val="00FD3EDF"/>
    <w:rsid w:val="00FD793C"/>
    <w:rsid w:val="00FE0FD5"/>
    <w:rsid w:val="00FE20E6"/>
    <w:rsid w:val="00FE3E3B"/>
    <w:rsid w:val="00FE5878"/>
    <w:rsid w:val="00FF4032"/>
    <w:rsid w:val="00FF4A2E"/>
    <w:rsid w:val="00FF6469"/>
    <w:rsid w:val="00FF6E91"/>
    <w:rsid w:val="00FF7E4A"/>
  </w:rsids>
  <m:mathPr>
    <m:mathFont m:val="Cambria Math"/>
    <m:brkBin m:val="before"/>
    <m:brkBinSub m:val="--"/>
    <m:smallFrac m:val="0"/>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DFE6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E81529"/>
    <w:rPr>
      <w:sz w:val="24"/>
      <w:szCs w:val="24"/>
      <w:lang w:eastAsia="en-US"/>
    </w:rPr>
  </w:style>
  <w:style w:type="paragraph" w:styleId="Antrat1">
    <w:name w:val="heading 1"/>
    <w:basedOn w:val="prastasis"/>
    <w:next w:val="prastasis"/>
    <w:qFormat/>
    <w:rsid w:val="00A84C51"/>
    <w:pPr>
      <w:keepNext/>
      <w:jc w:val="center"/>
      <w:outlineLvl w:val="0"/>
    </w:pPr>
    <w:rPr>
      <w:b/>
      <w:bCs/>
      <w:caps/>
    </w:rPr>
  </w:style>
  <w:style w:type="paragraph" w:styleId="Antrat2">
    <w:name w:val="heading 2"/>
    <w:basedOn w:val="prastasis"/>
    <w:next w:val="prastasis"/>
    <w:qFormat/>
    <w:rsid w:val="00A84C51"/>
    <w:pPr>
      <w:keepNext/>
      <w:jc w:val="center"/>
      <w:outlineLvl w:val="1"/>
    </w:pPr>
    <w:rPr>
      <w:b/>
      <w:bCs/>
      <w:caps/>
      <w:sz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A84C51"/>
    <w:pPr>
      <w:tabs>
        <w:tab w:val="center" w:pos="4986"/>
        <w:tab w:val="right" w:pos="9972"/>
      </w:tabs>
    </w:pPr>
  </w:style>
  <w:style w:type="paragraph" w:styleId="Porat">
    <w:name w:val="footer"/>
    <w:basedOn w:val="prastasis"/>
    <w:link w:val="PoratDiagrama"/>
    <w:rsid w:val="00A84C51"/>
    <w:pPr>
      <w:tabs>
        <w:tab w:val="center" w:pos="4986"/>
        <w:tab w:val="right" w:pos="9972"/>
      </w:tabs>
    </w:pPr>
  </w:style>
  <w:style w:type="character" w:styleId="Puslapionumeris">
    <w:name w:val="page number"/>
    <w:basedOn w:val="Numatytasispastraiposriftas"/>
    <w:rsid w:val="00A84C51"/>
  </w:style>
  <w:style w:type="character" w:styleId="Hipersaitas">
    <w:name w:val="Hyperlink"/>
    <w:basedOn w:val="Numatytasispastraiposriftas"/>
    <w:rsid w:val="00A84C51"/>
    <w:rPr>
      <w:color w:val="0000FF"/>
      <w:u w:val="single"/>
    </w:rPr>
  </w:style>
  <w:style w:type="paragraph" w:styleId="Debesliotekstas">
    <w:name w:val="Balloon Text"/>
    <w:basedOn w:val="prastasis"/>
    <w:semiHidden/>
    <w:rsid w:val="00EC2356"/>
    <w:rPr>
      <w:rFonts w:ascii="Tahoma" w:hAnsi="Tahoma" w:cs="Tahoma"/>
      <w:sz w:val="16"/>
      <w:szCs w:val="16"/>
    </w:rPr>
  </w:style>
  <w:style w:type="character" w:customStyle="1" w:styleId="PoratDiagrama">
    <w:name w:val="Poraštė Diagrama"/>
    <w:basedOn w:val="Numatytasispastraiposriftas"/>
    <w:link w:val="Porat"/>
    <w:rsid w:val="00737E2D"/>
    <w:rPr>
      <w:sz w:val="24"/>
      <w:szCs w:val="24"/>
      <w:lang w:eastAsia="en-US"/>
    </w:rPr>
  </w:style>
  <w:style w:type="character" w:customStyle="1" w:styleId="Neapdorotaspaminjimas1">
    <w:name w:val="Neapdorotas paminėjimas1"/>
    <w:basedOn w:val="Numatytasispastraiposriftas"/>
    <w:uiPriority w:val="99"/>
    <w:semiHidden/>
    <w:unhideWhenUsed/>
    <w:rsid w:val="00A31E86"/>
    <w:rPr>
      <w:color w:val="605E5C"/>
      <w:shd w:val="clear" w:color="auto" w:fill="E1DFDD"/>
    </w:rPr>
  </w:style>
  <w:style w:type="character" w:styleId="Perirtashipersaitas">
    <w:name w:val="FollowedHyperlink"/>
    <w:basedOn w:val="Numatytasispastraiposriftas"/>
    <w:semiHidden/>
    <w:unhideWhenUsed/>
    <w:rsid w:val="00A31E86"/>
    <w:rPr>
      <w:color w:val="800080" w:themeColor="followedHyperlink"/>
      <w:u w:val="single"/>
    </w:rPr>
  </w:style>
  <w:style w:type="table" w:styleId="Lentelstinklelis">
    <w:name w:val="Table Grid"/>
    <w:basedOn w:val="prastojilentel"/>
    <w:rsid w:val="00D429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semiHidden/>
    <w:unhideWhenUsed/>
    <w:rsid w:val="00C7012C"/>
    <w:rPr>
      <w:sz w:val="16"/>
      <w:szCs w:val="16"/>
    </w:rPr>
  </w:style>
  <w:style w:type="paragraph" w:styleId="Komentarotekstas">
    <w:name w:val="annotation text"/>
    <w:basedOn w:val="prastasis"/>
    <w:link w:val="KomentarotekstasDiagrama"/>
    <w:unhideWhenUsed/>
    <w:rsid w:val="00C7012C"/>
    <w:rPr>
      <w:sz w:val="20"/>
      <w:szCs w:val="20"/>
    </w:rPr>
  </w:style>
  <w:style w:type="character" w:customStyle="1" w:styleId="KomentarotekstasDiagrama">
    <w:name w:val="Komentaro tekstas Diagrama"/>
    <w:basedOn w:val="Numatytasispastraiposriftas"/>
    <w:link w:val="Komentarotekstas"/>
    <w:rsid w:val="00C7012C"/>
    <w:rPr>
      <w:lang w:eastAsia="en-US"/>
    </w:rPr>
  </w:style>
  <w:style w:type="paragraph" w:styleId="Komentarotema">
    <w:name w:val="annotation subject"/>
    <w:basedOn w:val="Komentarotekstas"/>
    <w:next w:val="Komentarotekstas"/>
    <w:link w:val="KomentarotemaDiagrama"/>
    <w:semiHidden/>
    <w:unhideWhenUsed/>
    <w:rsid w:val="00C7012C"/>
    <w:rPr>
      <w:b/>
      <w:bCs/>
    </w:rPr>
  </w:style>
  <w:style w:type="character" w:customStyle="1" w:styleId="KomentarotemaDiagrama">
    <w:name w:val="Komentaro tema Diagrama"/>
    <w:basedOn w:val="KomentarotekstasDiagrama"/>
    <w:link w:val="Komentarotema"/>
    <w:semiHidden/>
    <w:rsid w:val="00C7012C"/>
    <w:rPr>
      <w:b/>
      <w:bCs/>
      <w:lang w:eastAsia="en-US"/>
    </w:rPr>
  </w:style>
  <w:style w:type="paragraph" w:styleId="Sraopastraipa">
    <w:name w:val="List Paragraph"/>
    <w:aliases w:val="Summary Bullets,Bullet 1,Bullet1,Bullet List,Section 5,List Paragraph CCT minutes,Normal: Bullets,Table Legend,List Table,Bullets Points,BulletPoints,hyperlink,Listenabsatz,Numbered Sub-Section,BulletList 1,Bulletlist1,BulletList1"/>
    <w:basedOn w:val="prastasis"/>
    <w:link w:val="SraopastraipaDiagrama"/>
    <w:uiPriority w:val="34"/>
    <w:qFormat/>
    <w:rsid w:val="00104E2E"/>
    <w:pPr>
      <w:ind w:left="720"/>
      <w:contextualSpacing/>
    </w:pPr>
  </w:style>
  <w:style w:type="character" w:customStyle="1" w:styleId="Style2">
    <w:name w:val="Style2"/>
    <w:basedOn w:val="Numatytasispastraiposriftas"/>
    <w:uiPriority w:val="1"/>
    <w:rsid w:val="00D6498C"/>
    <w:rPr>
      <w:sz w:val="32"/>
    </w:rPr>
  </w:style>
  <w:style w:type="character" w:styleId="Vietosrezervavimoenklotekstas">
    <w:name w:val="Placeholder Text"/>
    <w:basedOn w:val="Numatytasispastraiposriftas"/>
    <w:uiPriority w:val="99"/>
    <w:rsid w:val="00B13D65"/>
    <w:rPr>
      <w:color w:val="808080"/>
    </w:rPr>
  </w:style>
  <w:style w:type="paragraph" w:styleId="Betarp">
    <w:name w:val="No Spacing"/>
    <w:uiPriority w:val="1"/>
    <w:qFormat/>
    <w:rsid w:val="00B13D65"/>
    <w:rPr>
      <w:rFonts w:ascii="Calibri" w:eastAsia="Calibri" w:hAnsi="Calibri"/>
      <w:sz w:val="22"/>
      <w:szCs w:val="22"/>
      <w:lang w:eastAsia="en-US"/>
    </w:rPr>
  </w:style>
  <w:style w:type="table" w:customStyle="1" w:styleId="Lentelstinklelis1">
    <w:name w:val="Lentelės tinklelis1"/>
    <w:basedOn w:val="prastojilentel"/>
    <w:next w:val="Lentelstinklelis"/>
    <w:rsid w:val="009E44AE"/>
    <w:rPr>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476256"/>
    <w:rPr>
      <w:sz w:val="24"/>
      <w:szCs w:val="24"/>
      <w:lang w:eastAsia="en-US"/>
    </w:rPr>
  </w:style>
  <w:style w:type="character" w:customStyle="1" w:styleId="SraopastraipaDiagrama">
    <w:name w:val="Sąrašo pastraipa Diagrama"/>
    <w:aliases w:val="Summary Bullets Diagrama,Bullet 1 Diagrama,Bullet1 Diagrama,Bullet List Diagrama,Section 5 Diagrama,List Paragraph CCT minutes Diagrama,Normal: Bullets Diagrama,Table Legend Diagrama,List Table Diagrama,Bullets Points Diagrama"/>
    <w:basedOn w:val="Numatytasispastraiposriftas"/>
    <w:link w:val="Sraopastraipa"/>
    <w:uiPriority w:val="34"/>
    <w:qFormat/>
    <w:rsid w:val="00F86ED6"/>
    <w:rPr>
      <w:sz w:val="24"/>
      <w:szCs w:val="24"/>
      <w:lang w:eastAsia="en-US"/>
    </w:rPr>
  </w:style>
  <w:style w:type="character" w:customStyle="1" w:styleId="apple-converted-space">
    <w:name w:val="apple-converted-space"/>
    <w:basedOn w:val="Numatytasispastraiposriftas"/>
    <w:rsid w:val="00D458B7"/>
  </w:style>
  <w:style w:type="character" w:styleId="Grietas">
    <w:name w:val="Strong"/>
    <w:basedOn w:val="Numatytasispastraiposriftas"/>
    <w:uiPriority w:val="22"/>
    <w:qFormat/>
    <w:rsid w:val="00D458B7"/>
    <w:rPr>
      <w:b/>
      <w:bCs/>
    </w:rPr>
  </w:style>
  <w:style w:type="paragraph" w:customStyle="1" w:styleId="Tekstas">
    <w:name w:val="Tekstas"/>
    <w:basedOn w:val="prastasis"/>
    <w:link w:val="TekstasChar"/>
    <w:qFormat/>
    <w:rsid w:val="00CB7AD6"/>
    <w:pPr>
      <w:spacing w:after="120"/>
      <w:jc w:val="both"/>
    </w:pPr>
    <w:rPr>
      <w:color w:val="000000" w:themeColor="text1"/>
      <w:lang w:val="en-US"/>
    </w:rPr>
  </w:style>
  <w:style w:type="character" w:customStyle="1" w:styleId="TekstasChar">
    <w:name w:val="Tekstas Char"/>
    <w:link w:val="Tekstas"/>
    <w:rsid w:val="00CB7AD6"/>
    <w:rPr>
      <w:color w:val="000000" w:themeColor="text1"/>
      <w:sz w:val="24"/>
      <w:szCs w:val="24"/>
      <w:lang w:val="en-US" w:eastAsia="en-US"/>
    </w:rPr>
  </w:style>
  <w:style w:type="character" w:styleId="HTMLkodas">
    <w:name w:val="HTML Code"/>
    <w:basedOn w:val="Numatytasispastraiposriftas"/>
    <w:uiPriority w:val="99"/>
    <w:semiHidden/>
    <w:unhideWhenUsed/>
    <w:rsid w:val="007F6C04"/>
    <w:rPr>
      <w:rFonts w:ascii="Courier New" w:eastAsia="Times New Roman" w:hAnsi="Courier New" w:cs="Courier New"/>
      <w:sz w:val="20"/>
      <w:szCs w:val="20"/>
    </w:rPr>
  </w:style>
  <w:style w:type="character" w:customStyle="1" w:styleId="math-inline">
    <w:name w:val="math-inline"/>
    <w:basedOn w:val="Numatytasispastraiposriftas"/>
    <w:rsid w:val="00260A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8802146">
      <w:bodyDiv w:val="1"/>
      <w:marLeft w:val="0"/>
      <w:marRight w:val="0"/>
      <w:marTop w:val="0"/>
      <w:marBottom w:val="0"/>
      <w:divBdr>
        <w:top w:val="none" w:sz="0" w:space="0" w:color="auto"/>
        <w:left w:val="none" w:sz="0" w:space="0" w:color="auto"/>
        <w:bottom w:val="none" w:sz="0" w:space="0" w:color="auto"/>
        <w:right w:val="none" w:sz="0" w:space="0" w:color="auto"/>
      </w:divBdr>
    </w:div>
    <w:div w:id="1513300798">
      <w:bodyDiv w:val="1"/>
      <w:marLeft w:val="0"/>
      <w:marRight w:val="0"/>
      <w:marTop w:val="0"/>
      <w:marBottom w:val="0"/>
      <w:divBdr>
        <w:top w:val="none" w:sz="0" w:space="0" w:color="auto"/>
        <w:left w:val="none" w:sz="0" w:space="0" w:color="auto"/>
        <w:bottom w:val="none" w:sz="0" w:space="0" w:color="auto"/>
        <w:right w:val="none" w:sz="0" w:space="0" w:color="auto"/>
      </w:divBdr>
    </w:div>
    <w:div w:id="159778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2ED9BE036A6450C9AF0B9C8AC944280"/>
        <w:category>
          <w:name w:val="Bendrosios nuostatos"/>
          <w:gallery w:val="placeholder"/>
        </w:category>
        <w:types>
          <w:type w:val="bbPlcHdr"/>
        </w:types>
        <w:behaviors>
          <w:behavior w:val="content"/>
        </w:behaviors>
        <w:guid w:val="{F1F5C385-CEC4-4EDC-8CDC-47CC1AA1A2A3}"/>
      </w:docPartPr>
      <w:docPartBody>
        <w:p w:rsidR="006053DB" w:rsidRDefault="00704D7B" w:rsidP="00704D7B">
          <w:pPr>
            <w:pStyle w:val="62ED9BE036A6450C9AF0B9C8AC944280"/>
          </w:pPr>
          <w:r>
            <w:rPr>
              <w:rStyle w:val="Vietosrezervavimoenklotekstas"/>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00000000"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0DD"/>
    <w:rsid w:val="0001247F"/>
    <w:rsid w:val="00047C19"/>
    <w:rsid w:val="00061157"/>
    <w:rsid w:val="000624FF"/>
    <w:rsid w:val="00077F05"/>
    <w:rsid w:val="000937FE"/>
    <w:rsid w:val="000A50C9"/>
    <w:rsid w:val="000A559A"/>
    <w:rsid w:val="000D24D4"/>
    <w:rsid w:val="000D6217"/>
    <w:rsid w:val="001057E8"/>
    <w:rsid w:val="0014006D"/>
    <w:rsid w:val="00155310"/>
    <w:rsid w:val="001C3227"/>
    <w:rsid w:val="001C35A9"/>
    <w:rsid w:val="00237556"/>
    <w:rsid w:val="002C0686"/>
    <w:rsid w:val="00354832"/>
    <w:rsid w:val="0039303B"/>
    <w:rsid w:val="004144A3"/>
    <w:rsid w:val="004160E7"/>
    <w:rsid w:val="004208D0"/>
    <w:rsid w:val="004416C6"/>
    <w:rsid w:val="00456E96"/>
    <w:rsid w:val="004C6221"/>
    <w:rsid w:val="004D038D"/>
    <w:rsid w:val="004F4E20"/>
    <w:rsid w:val="004F5AB2"/>
    <w:rsid w:val="005074B9"/>
    <w:rsid w:val="00563A5F"/>
    <w:rsid w:val="00574A61"/>
    <w:rsid w:val="00590DC8"/>
    <w:rsid w:val="005B6604"/>
    <w:rsid w:val="005C62E5"/>
    <w:rsid w:val="005E40DD"/>
    <w:rsid w:val="00601F4E"/>
    <w:rsid w:val="006053DB"/>
    <w:rsid w:val="006E6A2C"/>
    <w:rsid w:val="00704D7B"/>
    <w:rsid w:val="007219C1"/>
    <w:rsid w:val="00740371"/>
    <w:rsid w:val="00745C63"/>
    <w:rsid w:val="00753462"/>
    <w:rsid w:val="00772325"/>
    <w:rsid w:val="00786A9D"/>
    <w:rsid w:val="007A2FE0"/>
    <w:rsid w:val="007C6D1D"/>
    <w:rsid w:val="007D22CA"/>
    <w:rsid w:val="007D654E"/>
    <w:rsid w:val="00853487"/>
    <w:rsid w:val="008606F5"/>
    <w:rsid w:val="00892FF4"/>
    <w:rsid w:val="008C0DC0"/>
    <w:rsid w:val="0090074D"/>
    <w:rsid w:val="009019EA"/>
    <w:rsid w:val="00901A35"/>
    <w:rsid w:val="00945479"/>
    <w:rsid w:val="009517D3"/>
    <w:rsid w:val="009B3BF0"/>
    <w:rsid w:val="009D5E5E"/>
    <w:rsid w:val="009E1F64"/>
    <w:rsid w:val="009F1BB4"/>
    <w:rsid w:val="00A129A5"/>
    <w:rsid w:val="00A20D39"/>
    <w:rsid w:val="00A22478"/>
    <w:rsid w:val="00A254A2"/>
    <w:rsid w:val="00AB2D54"/>
    <w:rsid w:val="00AB6ED4"/>
    <w:rsid w:val="00B14210"/>
    <w:rsid w:val="00B22ED6"/>
    <w:rsid w:val="00B23DC0"/>
    <w:rsid w:val="00B71F04"/>
    <w:rsid w:val="00B96656"/>
    <w:rsid w:val="00B9789F"/>
    <w:rsid w:val="00BA0A8E"/>
    <w:rsid w:val="00BE3364"/>
    <w:rsid w:val="00C2401D"/>
    <w:rsid w:val="00C250D7"/>
    <w:rsid w:val="00C53A68"/>
    <w:rsid w:val="00C66578"/>
    <w:rsid w:val="00CA5BB4"/>
    <w:rsid w:val="00CB4BD1"/>
    <w:rsid w:val="00CD139C"/>
    <w:rsid w:val="00CE2DA9"/>
    <w:rsid w:val="00CE44BE"/>
    <w:rsid w:val="00CF3416"/>
    <w:rsid w:val="00D008F3"/>
    <w:rsid w:val="00D0142D"/>
    <w:rsid w:val="00D04DFF"/>
    <w:rsid w:val="00D15ED6"/>
    <w:rsid w:val="00D20347"/>
    <w:rsid w:val="00D4356B"/>
    <w:rsid w:val="00D506E4"/>
    <w:rsid w:val="00D7162F"/>
    <w:rsid w:val="00D74148"/>
    <w:rsid w:val="00DA599C"/>
    <w:rsid w:val="00DB4DB5"/>
    <w:rsid w:val="00DE4D10"/>
    <w:rsid w:val="00E44A86"/>
    <w:rsid w:val="00E522EB"/>
    <w:rsid w:val="00E60827"/>
    <w:rsid w:val="00EC62AE"/>
    <w:rsid w:val="00EF6E0C"/>
    <w:rsid w:val="00F10153"/>
    <w:rsid w:val="00F14477"/>
    <w:rsid w:val="00F370E5"/>
    <w:rsid w:val="00F55028"/>
    <w:rsid w:val="00F677F0"/>
    <w:rsid w:val="00F77BEF"/>
    <w:rsid w:val="00FC755C"/>
    <w:rsid w:val="00FE0D46"/>
    <w:rsid w:val="00FF0A5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rsid w:val="00704D7B"/>
    <w:rPr>
      <w:color w:val="808080"/>
    </w:rPr>
  </w:style>
  <w:style w:type="paragraph" w:customStyle="1" w:styleId="62ED9BE036A6450C9AF0B9C8AC944280">
    <w:name w:val="62ED9BE036A6450C9AF0B9C8AC944280"/>
    <w:rsid w:val="00704D7B"/>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026BA4-6477-428E-B43A-B5E7D502D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14374</Words>
  <Characters>8194</Characters>
  <Application>Microsoft Office Word</Application>
  <DocSecurity>0</DocSecurity>
  <Lines>68</Lines>
  <Paragraphs>45</Paragraphs>
  <ScaleCrop>false</ScaleCrop>
  <Company/>
  <LinksUpToDate>false</LinksUpToDate>
  <CharactersWithSpaces>22523</CharactersWithSpaces>
  <SharedDoc>false</SharedDoc>
  <HLinks>
    <vt:vector size="6" baseType="variant">
      <vt:variant>
        <vt:i4>5308539</vt:i4>
      </vt:variant>
      <vt:variant>
        <vt:i4>6</vt:i4>
      </vt:variant>
      <vt:variant>
        <vt:i4>0</vt:i4>
      </vt:variant>
      <vt:variant>
        <vt:i4>5</vt:i4>
      </vt:variant>
      <vt:variant>
        <vt:lpwstr>mailto:vvkt@vvkt.lt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2026-10-01T05:26:00Z</dcterms:created>
  <dcterms:modified xsi:type="dcterms:W3CDTF">2026-10-02T10:02:00Z</dcterms:modified>
</cp:coreProperties>
</file>