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5EB3" w14:textId="1955ADE3" w:rsidR="005F7602" w:rsidRPr="000B3A29" w:rsidRDefault="005F7602" w:rsidP="00B40E8C">
      <w:pPr>
        <w:spacing w:line="276" w:lineRule="auto"/>
        <w:ind w:left="5529"/>
      </w:pPr>
    </w:p>
    <w:p w14:paraId="12FA4B9E" w14:textId="39AA3336" w:rsidR="001B3C5B" w:rsidRPr="000B3A29" w:rsidRDefault="00DC261A" w:rsidP="00B40E8C">
      <w:pPr>
        <w:spacing w:line="276" w:lineRule="auto"/>
        <w:ind w:left="6096"/>
      </w:pPr>
      <w:bookmarkStart w:id="0" w:name="_Hlk189565243"/>
      <w:r w:rsidRPr="000B3A29">
        <w:t>PATVIRTINTA</w:t>
      </w:r>
    </w:p>
    <w:p w14:paraId="7206970B" w14:textId="70E9BD2E" w:rsidR="004C263A" w:rsidRPr="000B3A29" w:rsidRDefault="001B3C5B" w:rsidP="00B40E8C">
      <w:pPr>
        <w:spacing w:line="276" w:lineRule="auto"/>
        <w:ind w:left="6096"/>
      </w:pPr>
      <w:r w:rsidRPr="000B3A29">
        <w:t>Valstybinės vaistų kontrolės tarnybos prie Lietuvos Respublikos sveikatos apsaugos ministerijos viršininko 2021 m</w:t>
      </w:r>
      <w:r w:rsidR="004C263A" w:rsidRPr="000B3A29">
        <w:t xml:space="preserve">. lapkričio 12 </w:t>
      </w:r>
      <w:r w:rsidRPr="000B3A29">
        <w:t>d. įsakymu Nr.</w:t>
      </w:r>
      <w:r w:rsidR="004C263A" w:rsidRPr="000B3A29">
        <w:t xml:space="preserve"> (1.72E)1A-1418</w:t>
      </w:r>
    </w:p>
    <w:p w14:paraId="5B219AA6" w14:textId="3A5D6CB4" w:rsidR="001B3C5B" w:rsidRPr="000B3A29" w:rsidRDefault="004C263A" w:rsidP="00B40E8C">
      <w:pPr>
        <w:spacing w:line="276" w:lineRule="auto"/>
        <w:ind w:left="6096"/>
      </w:pPr>
      <w:r w:rsidRPr="000B3A29">
        <w:t>(Valstybinės vaistų kontrolės tarnybos prie Lietuvos Respublikos sveikatos apsaugos ministerijos viršininko 202</w:t>
      </w:r>
      <w:r w:rsidR="00A2310D" w:rsidRPr="000B3A29">
        <w:t>5</w:t>
      </w:r>
      <w:r w:rsidRPr="000B3A29">
        <w:t xml:space="preserve"> m.                         d. įsakymo Nr.                    redakcija)</w:t>
      </w:r>
    </w:p>
    <w:p w14:paraId="3336BD74" w14:textId="77777777" w:rsidR="001B3C5B" w:rsidRPr="000B3A29" w:rsidRDefault="001B3C5B" w:rsidP="00B40E8C">
      <w:pPr>
        <w:spacing w:line="276" w:lineRule="auto"/>
      </w:pPr>
    </w:p>
    <w:bookmarkEnd w:id="0"/>
    <w:p w14:paraId="56604434" w14:textId="77777777" w:rsidR="00DC261A" w:rsidRPr="000B3A29" w:rsidRDefault="00DC261A" w:rsidP="00B40E8C">
      <w:pPr>
        <w:spacing w:line="276" w:lineRule="auto"/>
        <w:jc w:val="center"/>
        <w:rPr>
          <w:b/>
        </w:rPr>
      </w:pPr>
    </w:p>
    <w:p w14:paraId="77AFB67E" w14:textId="0FB133A2" w:rsidR="00613501" w:rsidRPr="000B3A29" w:rsidRDefault="002F0E4F" w:rsidP="00B40E8C">
      <w:pPr>
        <w:spacing w:line="276" w:lineRule="auto"/>
        <w:jc w:val="center"/>
        <w:rPr>
          <w:b/>
          <w:bCs/>
          <w:caps/>
        </w:rPr>
      </w:pPr>
      <w:r w:rsidRPr="000B3A29">
        <w:rPr>
          <w:b/>
        </w:rPr>
        <w:t xml:space="preserve">REKOMENDACIJA DĖL VAISTINIO PREPARATO </w:t>
      </w:r>
      <w:r w:rsidRPr="000B3A29">
        <w:rPr>
          <w:b/>
          <w:bCs/>
          <w:caps/>
        </w:rPr>
        <w:t>Lietuvos Respublikos Sveikatos apsaugos ministerijos vaistinių preparatų ir medicinos pagalbos priemonių kompensavimo komisijai</w:t>
      </w:r>
    </w:p>
    <w:p w14:paraId="34E4395D" w14:textId="15FB10DF" w:rsidR="00B13D65" w:rsidRPr="000B3A29" w:rsidRDefault="00B13D65" w:rsidP="00B40E8C">
      <w:pPr>
        <w:spacing w:line="276" w:lineRule="auto"/>
        <w:jc w:val="center"/>
        <w:rPr>
          <w:b/>
        </w:rPr>
      </w:pPr>
    </w:p>
    <w:p w14:paraId="256DD0FC" w14:textId="77777777" w:rsidR="00B903AE" w:rsidRPr="000B3A29" w:rsidRDefault="00B903AE" w:rsidP="00B40E8C">
      <w:pPr>
        <w:spacing w:line="276" w:lineRule="auto"/>
        <w:jc w:val="center"/>
        <w:rPr>
          <w:b/>
        </w:rPr>
      </w:pPr>
      <w:r w:rsidRPr="000B3A29">
        <w:rPr>
          <w:b/>
        </w:rPr>
        <w:t>Keytruda 50 mg milteliai infuzinio tirpalo koncentratui</w:t>
      </w:r>
    </w:p>
    <w:p w14:paraId="00F711D1" w14:textId="77777777" w:rsidR="00B903AE" w:rsidRPr="000B3A29" w:rsidRDefault="00B903AE" w:rsidP="00B40E8C">
      <w:pPr>
        <w:spacing w:line="276" w:lineRule="auto"/>
        <w:jc w:val="center"/>
      </w:pPr>
    </w:p>
    <w:p w14:paraId="2173303B" w14:textId="77777777" w:rsidR="00B903AE" w:rsidRPr="000B3A29" w:rsidRDefault="00B903AE" w:rsidP="00B40E8C">
      <w:pPr>
        <w:spacing w:line="276" w:lineRule="auto"/>
        <w:jc w:val="center"/>
        <w:rPr>
          <w:b/>
        </w:rPr>
      </w:pPr>
      <w:r w:rsidRPr="000B3A29">
        <w:rPr>
          <w:b/>
        </w:rPr>
        <w:t>Pembrolizumabas</w:t>
      </w:r>
    </w:p>
    <w:p w14:paraId="5B0E0ED7" w14:textId="77777777" w:rsidR="00B903AE" w:rsidRPr="000B3A29" w:rsidRDefault="00B903AE" w:rsidP="00B40E8C">
      <w:pPr>
        <w:spacing w:line="276" w:lineRule="auto"/>
        <w:jc w:val="center"/>
      </w:pPr>
    </w:p>
    <w:p w14:paraId="455C376B" w14:textId="77777777" w:rsidR="00B903AE" w:rsidRPr="000B3A29" w:rsidRDefault="00B903AE" w:rsidP="00B40E8C">
      <w:pPr>
        <w:spacing w:line="276" w:lineRule="auto"/>
        <w:jc w:val="center"/>
        <w:rPr>
          <w:b/>
        </w:rPr>
      </w:pPr>
      <w:r w:rsidRPr="000B3A29">
        <w:rPr>
          <w:b/>
        </w:rPr>
        <w:t>STV-281</w:t>
      </w:r>
    </w:p>
    <w:p w14:paraId="453197C8" w14:textId="77777777" w:rsidR="00D4708D" w:rsidRPr="000B3A29" w:rsidRDefault="00D4708D" w:rsidP="00B40E8C">
      <w:pPr>
        <w:spacing w:line="276" w:lineRule="auto"/>
        <w:jc w:val="center"/>
        <w:rPr>
          <w:b/>
        </w:rPr>
      </w:pPr>
    </w:p>
    <w:p w14:paraId="78C89D1C" w14:textId="0DEFFAA5" w:rsidR="00D4485B" w:rsidRPr="000B3A29" w:rsidRDefault="00B13D65" w:rsidP="00B40E8C">
      <w:pPr>
        <w:pStyle w:val="Sraopastraipa"/>
        <w:numPr>
          <w:ilvl w:val="0"/>
          <w:numId w:val="12"/>
        </w:numPr>
        <w:tabs>
          <w:tab w:val="left" w:pos="567"/>
        </w:tabs>
        <w:spacing w:line="276" w:lineRule="auto"/>
        <w:ind w:left="567" w:hanging="567"/>
        <w:rPr>
          <w:b/>
          <w:bCs/>
          <w:caps/>
        </w:rPr>
      </w:pPr>
      <w:r w:rsidRPr="000B3A29">
        <w:rPr>
          <w:b/>
          <w:bCs/>
          <w:caps/>
        </w:rPr>
        <w:t>Bendroji dalis</w:t>
      </w:r>
    </w:p>
    <w:p w14:paraId="04A7C7A7" w14:textId="77777777" w:rsidR="00B13D65" w:rsidRPr="000B3A29" w:rsidRDefault="00B13D65" w:rsidP="00B40E8C">
      <w:pPr>
        <w:pStyle w:val="Sraopastraipa"/>
        <w:tabs>
          <w:tab w:val="left" w:pos="284"/>
        </w:tabs>
        <w:spacing w:line="276" w:lineRule="auto"/>
        <w:ind w:left="0"/>
        <w:rPr>
          <w:b/>
          <w:bCs/>
          <w:caps/>
        </w:rPr>
      </w:pPr>
    </w:p>
    <w:tbl>
      <w:tblPr>
        <w:tblStyle w:val="Lentelstinklelis"/>
        <w:tblW w:w="9493" w:type="dxa"/>
        <w:tblLook w:val="04A0" w:firstRow="1" w:lastRow="0" w:firstColumn="1" w:lastColumn="0" w:noHBand="0" w:noVBand="1"/>
      </w:tblPr>
      <w:tblGrid>
        <w:gridCol w:w="632"/>
        <w:gridCol w:w="3899"/>
        <w:gridCol w:w="4962"/>
      </w:tblGrid>
      <w:tr w:rsidR="00B903AE" w:rsidRPr="000B3A29" w14:paraId="16A7BC7B" w14:textId="77777777" w:rsidTr="003F3FFF">
        <w:trPr>
          <w:trHeight w:val="538"/>
        </w:trPr>
        <w:tc>
          <w:tcPr>
            <w:tcW w:w="632" w:type="dxa"/>
          </w:tcPr>
          <w:p w14:paraId="4572808D" w14:textId="77777777" w:rsidR="00B903AE" w:rsidRPr="000B3A29" w:rsidRDefault="00B903AE" w:rsidP="00B40E8C">
            <w:pPr>
              <w:spacing w:line="276" w:lineRule="auto"/>
              <w:rPr>
                <w:rFonts w:eastAsia="Arial"/>
                <w:b/>
                <w:bCs/>
              </w:rPr>
            </w:pPr>
            <w:r w:rsidRPr="000B3A29">
              <w:rPr>
                <w:rFonts w:eastAsia="Arial"/>
                <w:b/>
                <w:bCs/>
              </w:rPr>
              <w:t>1.1</w:t>
            </w:r>
          </w:p>
        </w:tc>
        <w:tc>
          <w:tcPr>
            <w:tcW w:w="3899" w:type="dxa"/>
          </w:tcPr>
          <w:p w14:paraId="54BA6EB3" w14:textId="77777777" w:rsidR="00B903AE" w:rsidRPr="000B3A29" w:rsidRDefault="00B903AE" w:rsidP="00B40E8C">
            <w:pPr>
              <w:spacing w:line="276" w:lineRule="auto"/>
              <w:rPr>
                <w:rFonts w:eastAsia="Arial"/>
                <w:b/>
                <w:bCs/>
              </w:rPr>
            </w:pPr>
            <w:r w:rsidRPr="000B3A29">
              <w:rPr>
                <w:rFonts w:eastAsia="Arial"/>
                <w:b/>
                <w:bCs/>
              </w:rPr>
              <w:t>Pareiškėjas/ pareiškėjo atstovas</w:t>
            </w:r>
          </w:p>
        </w:tc>
        <w:tc>
          <w:tcPr>
            <w:tcW w:w="4962" w:type="dxa"/>
          </w:tcPr>
          <w:p w14:paraId="0F359BD4" w14:textId="0C3E2FF5" w:rsidR="00B903AE" w:rsidRPr="000B3A29" w:rsidRDefault="00B903AE" w:rsidP="00B40E8C">
            <w:pPr>
              <w:spacing w:line="276" w:lineRule="auto"/>
              <w:rPr>
                <w:rFonts w:eastAsia="Arial"/>
              </w:rPr>
            </w:pPr>
            <w:r w:rsidRPr="000B3A29">
              <w:t>UAB “Merck Sharp &amp; Dohme“</w:t>
            </w:r>
          </w:p>
        </w:tc>
      </w:tr>
      <w:tr w:rsidR="00B903AE" w:rsidRPr="000B3A29" w14:paraId="101EA148" w14:textId="77777777" w:rsidTr="003F3FFF">
        <w:trPr>
          <w:trHeight w:val="538"/>
        </w:trPr>
        <w:tc>
          <w:tcPr>
            <w:tcW w:w="632" w:type="dxa"/>
          </w:tcPr>
          <w:p w14:paraId="3BF67175" w14:textId="77777777" w:rsidR="00B903AE" w:rsidRPr="000B3A29" w:rsidRDefault="00B903AE" w:rsidP="00B40E8C">
            <w:pPr>
              <w:spacing w:line="276" w:lineRule="auto"/>
              <w:rPr>
                <w:rFonts w:eastAsia="Arial"/>
                <w:b/>
                <w:bCs/>
              </w:rPr>
            </w:pPr>
            <w:r w:rsidRPr="000B3A29">
              <w:rPr>
                <w:rFonts w:eastAsia="Arial"/>
                <w:b/>
                <w:bCs/>
              </w:rPr>
              <w:t>1.2</w:t>
            </w:r>
          </w:p>
        </w:tc>
        <w:tc>
          <w:tcPr>
            <w:tcW w:w="3899" w:type="dxa"/>
          </w:tcPr>
          <w:p w14:paraId="786B66DF" w14:textId="77777777" w:rsidR="00B903AE" w:rsidRPr="000B3A29" w:rsidRDefault="00B903AE" w:rsidP="00B40E8C">
            <w:pPr>
              <w:spacing w:line="276" w:lineRule="auto"/>
              <w:rPr>
                <w:b/>
                <w:bCs/>
                <w:lang w:eastAsia="lt-LT"/>
              </w:rPr>
            </w:pPr>
            <w:r w:rsidRPr="000B3A29">
              <w:rPr>
                <w:b/>
                <w:bCs/>
                <w:lang w:eastAsia="lt-LT"/>
              </w:rPr>
              <w:t xml:space="preserve">Vaistinio preparato registracijos data </w:t>
            </w:r>
          </w:p>
          <w:p w14:paraId="4B568341" w14:textId="77777777" w:rsidR="00B903AE" w:rsidRPr="000B3A29" w:rsidRDefault="00B903AE" w:rsidP="00B40E8C">
            <w:pPr>
              <w:spacing w:line="276" w:lineRule="auto"/>
              <w:rPr>
                <w:b/>
                <w:bCs/>
                <w:lang w:eastAsia="lt-LT"/>
              </w:rPr>
            </w:pPr>
          </w:p>
        </w:tc>
        <w:tc>
          <w:tcPr>
            <w:tcW w:w="4962" w:type="dxa"/>
          </w:tcPr>
          <w:p w14:paraId="50F63366" w14:textId="699C5A9C" w:rsidR="00B903AE" w:rsidRPr="000B3A29" w:rsidRDefault="00000000" w:rsidP="00B40E8C">
            <w:pPr>
              <w:spacing w:line="276" w:lineRule="auto"/>
              <w:rPr>
                <w:rStyle w:val="Style2"/>
                <w:sz w:val="24"/>
              </w:rPr>
            </w:pPr>
            <w:sdt>
              <w:sdtPr>
                <w:rPr>
                  <w:sz w:val="32"/>
                </w:rPr>
                <w:alias w:val="Nurodykite konkrečią dieną"/>
                <w:tag w:val="Nurodykite pradžios datą"/>
                <w:id w:val="1772196685"/>
                <w:placeholder>
                  <w:docPart w:val="A064C2209A4A48ABA1E98D8E196155A1"/>
                </w:placeholder>
                <w15:color w:val="FFCC99"/>
                <w:date>
                  <w:dateFormat w:val="yyyy 'm.' MMMM d 'd.'"/>
                  <w:lid w:val="lt-LT"/>
                  <w:storeMappedDataAs w:val="dateTime"/>
                  <w:calendar w:val="gregorian"/>
                </w:date>
              </w:sdtPr>
              <w:sdtEndPr>
                <w:rPr>
                  <w:sz w:val="24"/>
                </w:rPr>
              </w:sdtEndPr>
              <w:sdtContent>
                <w:r w:rsidR="00B903AE" w:rsidRPr="000B3A29">
                  <w:t>2015 m. liepos 17 d.</w:t>
                </w:r>
              </w:sdtContent>
            </w:sdt>
          </w:p>
        </w:tc>
      </w:tr>
      <w:tr w:rsidR="00B903AE" w:rsidRPr="000B3A29" w14:paraId="3D70E0FA" w14:textId="77777777" w:rsidTr="001F115E">
        <w:trPr>
          <w:trHeight w:val="1643"/>
        </w:trPr>
        <w:tc>
          <w:tcPr>
            <w:tcW w:w="632" w:type="dxa"/>
          </w:tcPr>
          <w:p w14:paraId="021DF6BD" w14:textId="77777777" w:rsidR="00B903AE" w:rsidRPr="000B3A29" w:rsidRDefault="00B903AE" w:rsidP="00B40E8C">
            <w:pPr>
              <w:spacing w:line="276" w:lineRule="auto"/>
              <w:rPr>
                <w:rFonts w:eastAsia="Arial"/>
                <w:b/>
                <w:bCs/>
              </w:rPr>
            </w:pPr>
            <w:r w:rsidRPr="000B3A29">
              <w:rPr>
                <w:rFonts w:eastAsia="Arial"/>
                <w:b/>
                <w:bCs/>
              </w:rPr>
              <w:t>1.3</w:t>
            </w:r>
          </w:p>
        </w:tc>
        <w:tc>
          <w:tcPr>
            <w:tcW w:w="3899" w:type="dxa"/>
          </w:tcPr>
          <w:p w14:paraId="528F713F" w14:textId="77777777" w:rsidR="00B903AE" w:rsidRPr="000B3A29" w:rsidRDefault="00B903AE" w:rsidP="00B40E8C">
            <w:pPr>
              <w:pStyle w:val="Betarp"/>
              <w:spacing w:line="276" w:lineRule="auto"/>
              <w:rPr>
                <w:rFonts w:ascii="Times New Roman" w:hAnsi="Times New Roman"/>
                <w:b/>
                <w:sz w:val="24"/>
                <w:szCs w:val="24"/>
                <w:shd w:val="clear" w:color="auto" w:fill="FFFFFF"/>
              </w:rPr>
            </w:pPr>
            <w:r w:rsidRPr="000B3A29">
              <w:rPr>
                <w:rFonts w:ascii="Times New Roman" w:hAnsi="Times New Roman"/>
                <w:b/>
                <w:sz w:val="24"/>
                <w:szCs w:val="24"/>
              </w:rPr>
              <w:t xml:space="preserve">Vaistinio preparato </w:t>
            </w:r>
            <w:r w:rsidRPr="000B3A29">
              <w:rPr>
                <w:rFonts w:ascii="Times New Roman" w:hAnsi="Times New Roman"/>
                <w:b/>
                <w:sz w:val="24"/>
                <w:szCs w:val="24"/>
                <w:shd w:val="clear" w:color="auto" w:fill="FFFFFF"/>
              </w:rPr>
              <w:t>registracijos teisinis pagrindas</w:t>
            </w:r>
          </w:p>
          <w:p w14:paraId="63F86DC1" w14:textId="77777777" w:rsidR="00B903AE" w:rsidRPr="000B3A29" w:rsidRDefault="00B903AE" w:rsidP="00B40E8C">
            <w:pPr>
              <w:pStyle w:val="Betarp"/>
              <w:spacing w:line="276" w:lineRule="auto"/>
              <w:rPr>
                <w:rFonts w:ascii="Times New Roman" w:hAnsi="Times New Roman"/>
                <w:b/>
                <w:bCs/>
                <w:sz w:val="24"/>
                <w:szCs w:val="24"/>
                <w:lang w:eastAsia="lt-LT"/>
              </w:rPr>
            </w:pPr>
            <w:r w:rsidRPr="000B3A29">
              <w:rPr>
                <w:rFonts w:ascii="Times New Roman" w:hAnsi="Times New Roman"/>
                <w:b/>
                <w:sz w:val="24"/>
                <w:szCs w:val="24"/>
                <w:shd w:val="clear" w:color="auto" w:fill="FFFFFF"/>
              </w:rPr>
              <w:t>(</w:t>
            </w:r>
            <w:r w:rsidRPr="000B3A29">
              <w:rPr>
                <w:rFonts w:ascii="Times New Roman" w:hAnsi="Times New Roman"/>
                <w:b/>
                <w:sz w:val="24"/>
                <w:szCs w:val="24"/>
              </w:rPr>
              <w:t>Direktyvos 2001/83/EB str.)</w:t>
            </w:r>
          </w:p>
        </w:tc>
        <w:tc>
          <w:tcPr>
            <w:tcW w:w="4962" w:type="dxa"/>
          </w:tcPr>
          <w:p w14:paraId="34186EBB" w14:textId="77777777" w:rsidR="00B903AE" w:rsidRPr="000B3A29" w:rsidRDefault="00000000" w:rsidP="00B40E8C">
            <w:pPr>
              <w:spacing w:line="276" w:lineRule="auto"/>
              <w:jc w:val="both"/>
            </w:pPr>
            <w:sdt>
              <w:sdtPr>
                <w:rPr>
                  <w:rStyle w:val="Style2"/>
                  <w:sz w:val="24"/>
                </w:rPr>
                <w:id w:val="526292078"/>
                <w15:color w:val="FFCC00"/>
                <w14:checkbox>
                  <w14:checked w14:val="1"/>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8.3 str. (pilna byla, pagrįsta savais tyrimais)</w:t>
            </w:r>
          </w:p>
          <w:p w14:paraId="285CCBBC" w14:textId="77777777" w:rsidR="00B903AE" w:rsidRPr="000B3A29" w:rsidRDefault="00000000" w:rsidP="00B40E8C">
            <w:pPr>
              <w:spacing w:line="276" w:lineRule="auto"/>
              <w:jc w:val="both"/>
            </w:pPr>
            <w:sdt>
              <w:sdtPr>
                <w:rPr>
                  <w:rStyle w:val="Style2"/>
                  <w:sz w:val="24"/>
                </w:rPr>
                <w:id w:val="-1497953736"/>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10 a str. (pripažintas medicininis vartojimas)</w:t>
            </w:r>
          </w:p>
          <w:p w14:paraId="0B00AFEF" w14:textId="77777777" w:rsidR="00B903AE" w:rsidRPr="000B3A29" w:rsidRDefault="00000000" w:rsidP="00B40E8C">
            <w:pPr>
              <w:spacing w:line="276" w:lineRule="auto"/>
              <w:jc w:val="both"/>
            </w:pPr>
            <w:sdt>
              <w:sdtPr>
                <w:rPr>
                  <w:rStyle w:val="Style2"/>
                  <w:sz w:val="24"/>
                </w:rPr>
                <w:id w:val="204142496"/>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10.1 str. (generinis)</w:t>
            </w:r>
          </w:p>
          <w:p w14:paraId="346A25FD" w14:textId="77777777" w:rsidR="00B903AE" w:rsidRPr="000B3A29" w:rsidRDefault="00000000" w:rsidP="00B40E8C">
            <w:pPr>
              <w:spacing w:line="276" w:lineRule="auto"/>
              <w:jc w:val="both"/>
            </w:pPr>
            <w:sdt>
              <w:sdtPr>
                <w:rPr>
                  <w:rStyle w:val="Style2"/>
                  <w:sz w:val="24"/>
                </w:rPr>
                <w:id w:val="820305101"/>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10.3 str. (hibridinis)</w:t>
            </w:r>
          </w:p>
          <w:p w14:paraId="67401D4B" w14:textId="77777777" w:rsidR="00B903AE" w:rsidRPr="000B3A29" w:rsidRDefault="00000000" w:rsidP="00B40E8C">
            <w:pPr>
              <w:spacing w:line="276" w:lineRule="auto"/>
            </w:pPr>
            <w:sdt>
              <w:sdtPr>
                <w:rPr>
                  <w:rStyle w:val="Style2"/>
                  <w:sz w:val="24"/>
                </w:rPr>
                <w:id w:val="-450176040"/>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10.4 str. (panašus biologinis)</w:t>
            </w:r>
          </w:p>
          <w:p w14:paraId="21B0C3E7" w14:textId="77777777" w:rsidR="00B903AE" w:rsidRPr="000B3A29" w:rsidRDefault="00B903AE" w:rsidP="00B40E8C">
            <w:pPr>
              <w:spacing w:line="276" w:lineRule="auto"/>
              <w:jc w:val="both"/>
            </w:pPr>
          </w:p>
          <w:p w14:paraId="7EDB4848" w14:textId="77777777" w:rsidR="00B903AE" w:rsidRPr="000B3A29" w:rsidRDefault="00B903AE" w:rsidP="00B40E8C">
            <w:pPr>
              <w:spacing w:line="276" w:lineRule="auto"/>
              <w:rPr>
                <w:rStyle w:val="Style2"/>
                <w:sz w:val="24"/>
              </w:rPr>
            </w:pPr>
          </w:p>
        </w:tc>
      </w:tr>
      <w:tr w:rsidR="00B903AE" w:rsidRPr="000B3A29" w14:paraId="31641941" w14:textId="77777777" w:rsidTr="003F3FFF">
        <w:trPr>
          <w:trHeight w:val="1011"/>
        </w:trPr>
        <w:tc>
          <w:tcPr>
            <w:tcW w:w="632" w:type="dxa"/>
          </w:tcPr>
          <w:p w14:paraId="2E73A32C" w14:textId="77777777" w:rsidR="00B903AE" w:rsidRPr="000B3A29" w:rsidRDefault="00B903AE" w:rsidP="00B40E8C">
            <w:pPr>
              <w:spacing w:line="276" w:lineRule="auto"/>
              <w:rPr>
                <w:rFonts w:eastAsia="Arial"/>
                <w:b/>
                <w:bCs/>
              </w:rPr>
            </w:pPr>
            <w:r w:rsidRPr="000B3A29">
              <w:rPr>
                <w:rFonts w:eastAsia="Arial"/>
                <w:b/>
              </w:rPr>
              <w:t>1.4</w:t>
            </w:r>
          </w:p>
        </w:tc>
        <w:tc>
          <w:tcPr>
            <w:tcW w:w="3899" w:type="dxa"/>
          </w:tcPr>
          <w:p w14:paraId="2547AC59" w14:textId="77777777" w:rsidR="00B903AE" w:rsidRPr="000B3A29" w:rsidRDefault="00B903AE" w:rsidP="00B40E8C">
            <w:pPr>
              <w:tabs>
                <w:tab w:val="left" w:pos="284"/>
              </w:tabs>
              <w:spacing w:line="276" w:lineRule="auto"/>
              <w:rPr>
                <w:b/>
                <w:bCs/>
                <w:lang w:eastAsia="lt-LT"/>
              </w:rPr>
            </w:pPr>
            <w:r w:rsidRPr="000B3A29">
              <w:rPr>
                <w:b/>
                <w:bCs/>
                <w:lang w:eastAsia="lt-LT"/>
              </w:rPr>
              <w:t>Ar vaistinis preparatas įrašytas į Bendrijos retųjų vaistinių preparatų registrą?</w:t>
            </w:r>
          </w:p>
        </w:tc>
        <w:tc>
          <w:tcPr>
            <w:tcW w:w="4962" w:type="dxa"/>
          </w:tcPr>
          <w:p w14:paraId="759633E2" w14:textId="77777777" w:rsidR="00B903AE" w:rsidRPr="000B3A29" w:rsidRDefault="00000000" w:rsidP="00B40E8C">
            <w:pPr>
              <w:spacing w:line="276" w:lineRule="auto"/>
              <w:jc w:val="both"/>
            </w:pPr>
            <w:sdt>
              <w:sdtPr>
                <w:rPr>
                  <w:rStyle w:val="Style2"/>
                  <w:sz w:val="24"/>
                </w:rPr>
                <w:id w:val="1190730465"/>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 xml:space="preserve"> Taip       </w:t>
            </w:r>
            <w:r w:rsidR="00B903AE" w:rsidRPr="000B3A29">
              <w:rPr>
                <w:rStyle w:val="Style2"/>
                <w:sz w:val="24"/>
              </w:rPr>
              <w:t xml:space="preserve"> </w:t>
            </w:r>
            <w:sdt>
              <w:sdtPr>
                <w:rPr>
                  <w:rStyle w:val="Style2"/>
                  <w:sz w:val="24"/>
                </w:rPr>
                <w:id w:val="-1760283509"/>
                <w15:color w:val="FFCC00"/>
                <w14:checkbox>
                  <w14:checked w14:val="1"/>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 xml:space="preserve"> Ne</w:t>
            </w:r>
          </w:p>
          <w:p w14:paraId="56165267" w14:textId="15583FD9" w:rsidR="00B903AE" w:rsidRPr="000B3A29" w:rsidRDefault="00B903AE" w:rsidP="00B40E8C">
            <w:pPr>
              <w:spacing w:line="276" w:lineRule="auto"/>
              <w:rPr>
                <w:rFonts w:eastAsia="Arial"/>
              </w:rPr>
            </w:pPr>
          </w:p>
        </w:tc>
      </w:tr>
      <w:tr w:rsidR="00B903AE" w:rsidRPr="000B3A29" w14:paraId="5E0775EB" w14:textId="77777777" w:rsidTr="003F3FFF">
        <w:trPr>
          <w:trHeight w:val="1011"/>
        </w:trPr>
        <w:tc>
          <w:tcPr>
            <w:tcW w:w="632" w:type="dxa"/>
          </w:tcPr>
          <w:p w14:paraId="6829924D" w14:textId="77777777" w:rsidR="00B903AE" w:rsidRPr="000B3A29" w:rsidRDefault="00B903AE" w:rsidP="00B40E8C">
            <w:pPr>
              <w:spacing w:line="276" w:lineRule="auto"/>
              <w:rPr>
                <w:rFonts w:eastAsia="Arial"/>
                <w:b/>
              </w:rPr>
            </w:pPr>
            <w:r w:rsidRPr="000B3A29">
              <w:rPr>
                <w:rFonts w:eastAsia="Arial"/>
                <w:b/>
                <w:bCs/>
              </w:rPr>
              <w:t>1.5</w:t>
            </w:r>
          </w:p>
        </w:tc>
        <w:tc>
          <w:tcPr>
            <w:tcW w:w="3899" w:type="dxa"/>
          </w:tcPr>
          <w:p w14:paraId="1DDE7CF3" w14:textId="2FF7A402" w:rsidR="00B903AE" w:rsidRPr="000B3A29" w:rsidRDefault="00B903AE" w:rsidP="00B40E8C">
            <w:pPr>
              <w:tabs>
                <w:tab w:val="left" w:pos="284"/>
              </w:tabs>
              <w:spacing w:line="276" w:lineRule="auto"/>
              <w:rPr>
                <w:b/>
                <w:bCs/>
                <w:lang w:eastAsia="lt-LT"/>
              </w:rPr>
            </w:pPr>
            <w:r w:rsidRPr="000B3A29">
              <w:rPr>
                <w:b/>
                <w:bCs/>
                <w:lang w:eastAsia="lt-LT"/>
              </w:rPr>
              <w:t>Ar atliktas bendras klinikinis vertinimas</w:t>
            </w:r>
          </w:p>
          <w:p w14:paraId="0961228D" w14:textId="77777777" w:rsidR="00B903AE" w:rsidRPr="000B3A29" w:rsidRDefault="00B903AE" w:rsidP="00B40E8C">
            <w:pPr>
              <w:tabs>
                <w:tab w:val="left" w:pos="284"/>
              </w:tabs>
              <w:spacing w:line="276" w:lineRule="auto"/>
              <w:rPr>
                <w:b/>
                <w:bCs/>
                <w:lang w:eastAsia="lt-LT"/>
              </w:rPr>
            </w:pPr>
            <w:r w:rsidRPr="000B3A29">
              <w:rPr>
                <w:b/>
                <w:bCs/>
                <w:lang w:eastAsia="lt-LT"/>
              </w:rPr>
              <w:t>(Europos Parlamento ir Tarybos reglamentas (ES) 2021/2282)</w:t>
            </w:r>
          </w:p>
          <w:p w14:paraId="7B6C3C1B" w14:textId="77777777" w:rsidR="00B903AE" w:rsidRPr="000B3A29" w:rsidRDefault="00B903AE" w:rsidP="00B40E8C">
            <w:pPr>
              <w:tabs>
                <w:tab w:val="left" w:pos="284"/>
              </w:tabs>
              <w:spacing w:line="276" w:lineRule="auto"/>
              <w:rPr>
                <w:b/>
                <w:bCs/>
                <w:lang w:eastAsia="lt-LT"/>
              </w:rPr>
            </w:pPr>
          </w:p>
        </w:tc>
        <w:tc>
          <w:tcPr>
            <w:tcW w:w="4962" w:type="dxa"/>
          </w:tcPr>
          <w:p w14:paraId="0DF729B3" w14:textId="3001FD31" w:rsidR="00B903AE" w:rsidRPr="000B3A29" w:rsidRDefault="00000000" w:rsidP="00B40E8C">
            <w:pPr>
              <w:spacing w:line="276" w:lineRule="auto"/>
              <w:rPr>
                <w:rStyle w:val="Style2"/>
                <w:sz w:val="24"/>
              </w:rPr>
            </w:pPr>
            <w:sdt>
              <w:sdtPr>
                <w:rPr>
                  <w:rStyle w:val="Style2"/>
                  <w:sz w:val="24"/>
                </w:rPr>
                <w:id w:val="-1171564470"/>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 xml:space="preserve"> Taip       </w:t>
            </w:r>
            <w:r w:rsidR="00B903AE" w:rsidRPr="000B3A29">
              <w:rPr>
                <w:rStyle w:val="Style2"/>
                <w:sz w:val="24"/>
              </w:rPr>
              <w:t xml:space="preserve"> </w:t>
            </w:r>
            <w:sdt>
              <w:sdtPr>
                <w:rPr>
                  <w:rStyle w:val="Style2"/>
                  <w:sz w:val="24"/>
                </w:rPr>
                <w:id w:val="1448122567"/>
                <w15:color w:val="FFCC00"/>
                <w14:checkbox>
                  <w14:checked w14:val="1"/>
                  <w14:checkedState w14:val="2612" w14:font="MS Gothic"/>
                  <w14:uncheckedState w14:val="2610" w14:font="MS Gothic"/>
                </w14:checkbox>
              </w:sdtPr>
              <w:sdtContent>
                <w:r w:rsidR="00B903AE" w:rsidRPr="000B3A29">
                  <w:rPr>
                    <w:rStyle w:val="Style2"/>
                    <w:rFonts w:ascii="MS Gothic" w:eastAsia="MS Gothic" w:hAnsi="MS Gothic"/>
                    <w:sz w:val="24"/>
                  </w:rPr>
                  <w:t>☒</w:t>
                </w:r>
              </w:sdtContent>
            </w:sdt>
            <w:r w:rsidR="00B903AE" w:rsidRPr="000B3A29">
              <w:t xml:space="preserve"> Ne</w:t>
            </w:r>
          </w:p>
        </w:tc>
      </w:tr>
      <w:tr w:rsidR="00B903AE" w:rsidRPr="000B3A29" w14:paraId="15E36E93" w14:textId="77777777" w:rsidTr="003F3FFF">
        <w:trPr>
          <w:trHeight w:val="1278"/>
        </w:trPr>
        <w:tc>
          <w:tcPr>
            <w:tcW w:w="632" w:type="dxa"/>
          </w:tcPr>
          <w:p w14:paraId="5F43AA8F" w14:textId="77777777" w:rsidR="00B903AE" w:rsidRPr="000B3A29" w:rsidRDefault="00B903AE" w:rsidP="00B40E8C">
            <w:pPr>
              <w:spacing w:line="276" w:lineRule="auto"/>
              <w:rPr>
                <w:rFonts w:eastAsia="Arial"/>
                <w:b/>
                <w:bCs/>
              </w:rPr>
            </w:pPr>
            <w:r w:rsidRPr="000B3A29">
              <w:rPr>
                <w:rFonts w:eastAsia="Arial"/>
                <w:b/>
                <w:bCs/>
              </w:rPr>
              <w:t>1.6</w:t>
            </w:r>
          </w:p>
        </w:tc>
        <w:tc>
          <w:tcPr>
            <w:tcW w:w="3899" w:type="dxa"/>
          </w:tcPr>
          <w:p w14:paraId="41F32942" w14:textId="77777777" w:rsidR="00B903AE" w:rsidRPr="000B3A29" w:rsidRDefault="00B903AE" w:rsidP="00B40E8C">
            <w:pPr>
              <w:spacing w:line="276" w:lineRule="auto"/>
              <w:rPr>
                <w:b/>
                <w:bCs/>
                <w:lang w:eastAsia="lt-LT"/>
              </w:rPr>
            </w:pPr>
            <w:r w:rsidRPr="000B3A29">
              <w:rPr>
                <w:b/>
                <w:bCs/>
                <w:lang w:eastAsia="lt-LT"/>
              </w:rPr>
              <w:t xml:space="preserve">Teikiama kompensuoti terapinė indikacija </w:t>
            </w:r>
          </w:p>
          <w:p w14:paraId="2882A5BD" w14:textId="77777777" w:rsidR="00B903AE" w:rsidRPr="000B3A29" w:rsidRDefault="00B903AE" w:rsidP="00B40E8C">
            <w:pPr>
              <w:spacing w:line="276" w:lineRule="auto"/>
              <w:rPr>
                <w:b/>
                <w:bCs/>
                <w:lang w:eastAsia="lt-LT"/>
              </w:rPr>
            </w:pPr>
          </w:p>
          <w:p w14:paraId="371D188E" w14:textId="77777777" w:rsidR="00B903AE" w:rsidRPr="000B3A29" w:rsidRDefault="00B903AE" w:rsidP="00B40E8C">
            <w:pPr>
              <w:spacing w:line="276" w:lineRule="auto"/>
              <w:rPr>
                <w:b/>
                <w:bCs/>
                <w:lang w:eastAsia="lt-LT"/>
              </w:rPr>
            </w:pPr>
            <w:r w:rsidRPr="000B3A29">
              <w:rPr>
                <w:b/>
                <w:bCs/>
                <w:lang w:eastAsia="lt-LT"/>
              </w:rPr>
              <w:t>Kodas pagal TLK-10 AM</w:t>
            </w:r>
          </w:p>
        </w:tc>
        <w:tc>
          <w:tcPr>
            <w:tcW w:w="4962" w:type="dxa"/>
          </w:tcPr>
          <w:p w14:paraId="338CADD7" w14:textId="77777777" w:rsidR="00B903AE" w:rsidRPr="000B3A29" w:rsidRDefault="00B903AE" w:rsidP="00B40E8C">
            <w:pPr>
              <w:spacing w:line="276" w:lineRule="auto"/>
              <w:jc w:val="both"/>
            </w:pPr>
            <w:r w:rsidRPr="000B3A29">
              <w:t>KEYTRUDA monoterapija skirta rezekuotinos vietiškai išplitusios galvos ir kaklo plokščialąstelinės karcinomos neoadjuvantiniam gydymui, vėliau tęsiant adjuvantiniam gydymui derinant su radioterapija ir kartu su cisplatina arba be jos, bei tuomet vėl skiriant monoterapiją suaugusiesiems, kurių navikai ekspresuoja PD-L1 ir CPS rodmuo yra ≥ 1.</w:t>
            </w:r>
          </w:p>
          <w:p w14:paraId="36F5D764" w14:textId="77777777" w:rsidR="00B903AE" w:rsidRPr="000B3A29" w:rsidRDefault="00B903AE" w:rsidP="00B40E8C">
            <w:pPr>
              <w:spacing w:line="276" w:lineRule="auto"/>
              <w:jc w:val="both"/>
            </w:pPr>
          </w:p>
          <w:p w14:paraId="1054D958" w14:textId="77777777" w:rsidR="00B903AE" w:rsidRPr="000B3A29" w:rsidRDefault="00B903AE" w:rsidP="00B40E8C">
            <w:pPr>
              <w:spacing w:line="276" w:lineRule="auto"/>
              <w:jc w:val="both"/>
            </w:pPr>
            <w:r w:rsidRPr="000B3A29">
              <w:t>TLK-10 AM kodai – C00–C10, C12–C14, C30, C32.</w:t>
            </w:r>
          </w:p>
          <w:p w14:paraId="10833DB8" w14:textId="7678DD02" w:rsidR="00B903AE" w:rsidRPr="000B3A29" w:rsidRDefault="00B903AE" w:rsidP="00B40E8C">
            <w:pPr>
              <w:spacing w:line="276" w:lineRule="auto"/>
            </w:pPr>
          </w:p>
        </w:tc>
      </w:tr>
      <w:tr w:rsidR="00B903AE" w:rsidRPr="000B3A29" w14:paraId="01C3C4F5" w14:textId="77777777" w:rsidTr="003F3FFF">
        <w:trPr>
          <w:trHeight w:val="378"/>
        </w:trPr>
        <w:tc>
          <w:tcPr>
            <w:tcW w:w="632" w:type="dxa"/>
          </w:tcPr>
          <w:p w14:paraId="5115AFC1" w14:textId="77777777" w:rsidR="00B903AE" w:rsidRPr="000B3A29" w:rsidRDefault="00B903AE" w:rsidP="00B40E8C">
            <w:pPr>
              <w:spacing w:line="276" w:lineRule="auto"/>
              <w:rPr>
                <w:rFonts w:eastAsia="Arial"/>
                <w:b/>
                <w:bCs/>
              </w:rPr>
            </w:pPr>
            <w:r w:rsidRPr="000B3A29">
              <w:rPr>
                <w:rFonts w:eastAsia="Arial"/>
                <w:b/>
                <w:bCs/>
              </w:rPr>
              <w:t>1.7</w:t>
            </w:r>
          </w:p>
        </w:tc>
        <w:tc>
          <w:tcPr>
            <w:tcW w:w="3899" w:type="dxa"/>
          </w:tcPr>
          <w:p w14:paraId="48045B5A" w14:textId="77777777" w:rsidR="00B903AE" w:rsidRPr="000B3A29" w:rsidRDefault="00B903AE" w:rsidP="00B40E8C">
            <w:pPr>
              <w:spacing w:line="276" w:lineRule="auto"/>
              <w:rPr>
                <w:b/>
                <w:bCs/>
                <w:u w:val="single"/>
                <w:lang w:eastAsia="lt-LT"/>
              </w:rPr>
            </w:pPr>
            <w:r w:rsidRPr="000B3A29">
              <w:rPr>
                <w:b/>
                <w:bCs/>
                <w:lang w:eastAsia="lt-LT"/>
              </w:rPr>
              <w:t xml:space="preserve">Teikiamos skyrimo sąlygos </w:t>
            </w:r>
          </w:p>
        </w:tc>
        <w:tc>
          <w:tcPr>
            <w:tcW w:w="4962" w:type="dxa"/>
          </w:tcPr>
          <w:p w14:paraId="2222B96C" w14:textId="77777777" w:rsidR="00B903AE" w:rsidRPr="000B3A29" w:rsidRDefault="00B903AE" w:rsidP="00B40E8C">
            <w:pPr>
              <w:spacing w:line="276" w:lineRule="auto"/>
              <w:jc w:val="both"/>
            </w:pPr>
            <w:r w:rsidRPr="000B3A29">
              <w:t>Neteikiama.</w:t>
            </w:r>
          </w:p>
          <w:p w14:paraId="6A31562C" w14:textId="77777777" w:rsidR="00B903AE" w:rsidRPr="000B3A29" w:rsidRDefault="00B903AE" w:rsidP="00B40E8C">
            <w:pPr>
              <w:spacing w:line="276" w:lineRule="auto"/>
            </w:pPr>
          </w:p>
        </w:tc>
      </w:tr>
      <w:tr w:rsidR="00B903AE" w:rsidRPr="000B3A29" w14:paraId="3C32C984" w14:textId="77777777" w:rsidTr="003F3FFF">
        <w:trPr>
          <w:trHeight w:val="378"/>
        </w:trPr>
        <w:tc>
          <w:tcPr>
            <w:tcW w:w="632" w:type="dxa"/>
          </w:tcPr>
          <w:p w14:paraId="4E679EDB" w14:textId="77777777" w:rsidR="00B903AE" w:rsidRPr="000B3A29" w:rsidRDefault="00B903AE" w:rsidP="00B40E8C">
            <w:pPr>
              <w:spacing w:line="276" w:lineRule="auto"/>
              <w:rPr>
                <w:rFonts w:eastAsia="Arial"/>
                <w:b/>
                <w:bCs/>
              </w:rPr>
            </w:pPr>
            <w:r w:rsidRPr="000B3A29">
              <w:rPr>
                <w:rFonts w:eastAsia="Arial"/>
                <w:b/>
                <w:bCs/>
              </w:rPr>
              <w:t>1.8</w:t>
            </w:r>
          </w:p>
        </w:tc>
        <w:tc>
          <w:tcPr>
            <w:tcW w:w="3899" w:type="dxa"/>
          </w:tcPr>
          <w:p w14:paraId="784605B5" w14:textId="3A924C79" w:rsidR="00B903AE" w:rsidRPr="000B3A29" w:rsidRDefault="00B903AE" w:rsidP="00B40E8C">
            <w:pPr>
              <w:spacing w:line="276" w:lineRule="auto"/>
              <w:rPr>
                <w:b/>
                <w:bCs/>
                <w:lang w:eastAsia="lt-LT"/>
              </w:rPr>
            </w:pPr>
            <w:r w:rsidRPr="000B3A29">
              <w:rPr>
                <w:b/>
                <w:bCs/>
                <w:lang w:eastAsia="lt-LT"/>
              </w:rPr>
              <w:t>Ekonominė analizė</w:t>
            </w:r>
          </w:p>
        </w:tc>
        <w:tc>
          <w:tcPr>
            <w:tcW w:w="4962" w:type="dxa"/>
          </w:tcPr>
          <w:p w14:paraId="29301D68" w14:textId="77777777" w:rsidR="00B903AE" w:rsidRPr="000B3A29" w:rsidRDefault="00000000" w:rsidP="00B40E8C">
            <w:pPr>
              <w:spacing w:line="276" w:lineRule="auto"/>
              <w:jc w:val="both"/>
            </w:pPr>
            <w:sdt>
              <w:sdtPr>
                <w:rPr>
                  <w:rStyle w:val="Style2"/>
                </w:rPr>
                <w:id w:val="356323367"/>
                <w15:color w:val="FFCC00"/>
                <w14:checkbox>
                  <w14:checked w14:val="1"/>
                  <w14:checkedState w14:val="2612" w14:font="MS Gothic"/>
                  <w14:uncheckedState w14:val="2610" w14:font="MS Gothic"/>
                </w14:checkbox>
              </w:sdtPr>
              <w:sdtContent>
                <w:r w:rsidR="00B903AE" w:rsidRPr="000B3A29">
                  <w:rPr>
                    <w:rStyle w:val="Style2"/>
                    <w:rFonts w:ascii="MS Gothic" w:eastAsia="MS Gothic" w:hAnsi="MS Gothic"/>
                  </w:rPr>
                  <w:t>☒</w:t>
                </w:r>
              </w:sdtContent>
            </w:sdt>
            <w:r w:rsidR="00B903AE" w:rsidRPr="000B3A29">
              <w:t xml:space="preserve"> Kaštų naudingumo analizė</w:t>
            </w:r>
          </w:p>
          <w:p w14:paraId="35E4E8F6" w14:textId="77777777" w:rsidR="00B903AE" w:rsidRPr="000B3A29" w:rsidRDefault="00000000" w:rsidP="00B40E8C">
            <w:pPr>
              <w:spacing w:line="276" w:lineRule="auto"/>
              <w:jc w:val="both"/>
            </w:pPr>
            <w:sdt>
              <w:sdtPr>
                <w:rPr>
                  <w:rStyle w:val="Style2"/>
                </w:rPr>
                <w:id w:val="-250506580"/>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rPr>
                  <w:t>☐</w:t>
                </w:r>
              </w:sdtContent>
            </w:sdt>
            <w:r w:rsidR="00B903AE" w:rsidRPr="000B3A29">
              <w:t xml:space="preserve"> Kaštų mažinimo analizė</w:t>
            </w:r>
          </w:p>
          <w:p w14:paraId="29C9F877" w14:textId="77777777" w:rsidR="00B903AE" w:rsidRPr="000B3A29" w:rsidRDefault="00000000" w:rsidP="00B40E8C">
            <w:pPr>
              <w:spacing w:line="276" w:lineRule="auto"/>
              <w:jc w:val="both"/>
            </w:pPr>
            <w:sdt>
              <w:sdtPr>
                <w:rPr>
                  <w:rStyle w:val="Style2"/>
                </w:rPr>
                <w:id w:val="-1517455044"/>
                <w15:color w:val="FFCC00"/>
                <w14:checkbox>
                  <w14:checked w14:val="0"/>
                  <w14:checkedState w14:val="2612" w14:font="MS Gothic"/>
                  <w14:uncheckedState w14:val="2610" w14:font="MS Gothic"/>
                </w14:checkbox>
              </w:sdtPr>
              <w:sdtContent>
                <w:r w:rsidR="00B903AE" w:rsidRPr="000B3A29">
                  <w:rPr>
                    <w:rStyle w:val="Style2"/>
                    <w:rFonts w:ascii="MS Gothic" w:eastAsia="MS Gothic" w:hAnsi="MS Gothic"/>
                  </w:rPr>
                  <w:t>☐</w:t>
                </w:r>
              </w:sdtContent>
            </w:sdt>
            <w:r w:rsidR="00B903AE" w:rsidRPr="000B3A29">
              <w:t xml:space="preserve"> Neteikiama</w:t>
            </w:r>
          </w:p>
          <w:p w14:paraId="4B0FE78C" w14:textId="77777777" w:rsidR="00B903AE" w:rsidRPr="000B3A29" w:rsidRDefault="00B903AE" w:rsidP="00B40E8C">
            <w:pPr>
              <w:spacing w:line="276" w:lineRule="auto"/>
            </w:pPr>
          </w:p>
        </w:tc>
      </w:tr>
    </w:tbl>
    <w:p w14:paraId="2EB7FD31" w14:textId="5615B363" w:rsidR="007A2B68" w:rsidRPr="000B3A29" w:rsidRDefault="00DC261A" w:rsidP="00B40E8C">
      <w:pPr>
        <w:pStyle w:val="Sraopastraipa"/>
        <w:tabs>
          <w:tab w:val="left" w:pos="426"/>
        </w:tabs>
        <w:spacing w:line="276" w:lineRule="auto"/>
        <w:ind w:left="0"/>
        <w:jc w:val="center"/>
        <w:rPr>
          <w:b/>
          <w:bCs/>
          <w:caps/>
        </w:rPr>
      </w:pPr>
      <w:r w:rsidRPr="000B3A29">
        <w:rPr>
          <w:b/>
          <w:bCs/>
          <w:caps/>
        </w:rPr>
        <w:t>___________________</w:t>
      </w:r>
    </w:p>
    <w:p w14:paraId="73290081" w14:textId="77777777" w:rsidR="007A2B68" w:rsidRPr="000B3A29" w:rsidRDefault="007A2B68" w:rsidP="00B40E8C">
      <w:pPr>
        <w:spacing w:line="276" w:lineRule="auto"/>
        <w:rPr>
          <w:b/>
          <w:bCs/>
          <w:caps/>
        </w:rPr>
      </w:pPr>
      <w:r w:rsidRPr="000B3A29">
        <w:rPr>
          <w:b/>
          <w:bCs/>
          <w:caps/>
        </w:rPr>
        <w:br w:type="page"/>
      </w:r>
    </w:p>
    <w:p w14:paraId="5055E8A8" w14:textId="0217B9D9" w:rsidR="002E6F80" w:rsidRPr="000B3A29" w:rsidRDefault="00CC7832" w:rsidP="00B40E8C">
      <w:pPr>
        <w:pStyle w:val="Sraopastraipa"/>
        <w:numPr>
          <w:ilvl w:val="0"/>
          <w:numId w:val="12"/>
        </w:numPr>
        <w:tabs>
          <w:tab w:val="left" w:pos="567"/>
        </w:tabs>
        <w:spacing w:line="276" w:lineRule="auto"/>
        <w:ind w:hanging="720"/>
        <w:rPr>
          <w:b/>
          <w:bCs/>
          <w:caps/>
        </w:rPr>
      </w:pPr>
      <w:r w:rsidRPr="000B3A29">
        <w:rPr>
          <w:b/>
          <w:bCs/>
          <w:caps/>
        </w:rPr>
        <w:lastRenderedPageBreak/>
        <w:t>Klinikinio vertinimo a</w:t>
      </w:r>
      <w:r w:rsidR="00D4485B" w:rsidRPr="000B3A29">
        <w:rPr>
          <w:b/>
          <w:bCs/>
          <w:caps/>
        </w:rPr>
        <w:t>pibendrinimas</w:t>
      </w:r>
    </w:p>
    <w:p w14:paraId="25F89291" w14:textId="16FB78BB" w:rsidR="00D4485B" w:rsidRPr="000B3A29" w:rsidRDefault="00D4485B" w:rsidP="00B40E8C">
      <w:pPr>
        <w:pStyle w:val="Sraopastraipa"/>
        <w:tabs>
          <w:tab w:val="left" w:pos="426"/>
        </w:tabs>
        <w:spacing w:line="276" w:lineRule="auto"/>
        <w:ind w:left="0"/>
        <w:rPr>
          <w:b/>
          <w:bCs/>
          <w:caps/>
        </w:rPr>
      </w:pPr>
    </w:p>
    <w:p w14:paraId="64B482C5" w14:textId="77777777" w:rsidR="00B903AE" w:rsidRPr="000B3A29" w:rsidRDefault="00B903AE" w:rsidP="00B40E8C">
      <w:pPr>
        <w:spacing w:line="276" w:lineRule="auto"/>
        <w:ind w:firstLine="720"/>
        <w:jc w:val="both"/>
        <w:rPr>
          <w:lang w:eastAsia="lt-LT"/>
        </w:rPr>
      </w:pPr>
      <w:r w:rsidRPr="000B3A29">
        <w:rPr>
          <w:lang w:eastAsia="lt-LT"/>
        </w:rPr>
        <w:t>Galvos ir kaklo plokščialąstelinė karcinoma (GKPLK) yra dažniausias galvos ir kaklo piktybinių navikų histologinis tipas, sudarantis daugiau kaip 90 % šios lokalizacijos navikų. Kasmet pasaulyje diagnozuojama daugiau kaip 890 000 naujų GKPLK atvejų, o maždaug 60 % pacientų diagnozės metu nustatoma lokoregioniškai išplitusi III arba IVA stadijos liga. Rezektabili lokoregioniškai išplitusi GKPLK yra potencialiai išgydoma, tačiau jai gydyti paprastai būtinas daugiamodalinis gydymas, apimantis chirurginę rezekciją, spindulinę terapiją ir, esant didelės rizikos patologiniams požymiams, chemoterapiją cisplatina.</w:t>
      </w:r>
    </w:p>
    <w:p w14:paraId="7C09B161" w14:textId="77777777" w:rsidR="00B903AE" w:rsidRPr="000B3A29" w:rsidRDefault="00B903AE" w:rsidP="00B40E8C">
      <w:pPr>
        <w:spacing w:line="276" w:lineRule="auto"/>
        <w:ind w:firstLine="720"/>
        <w:jc w:val="both"/>
        <w:rPr>
          <w:lang w:eastAsia="lt-LT"/>
        </w:rPr>
      </w:pPr>
      <w:r w:rsidRPr="000B3A29">
        <w:rPr>
          <w:lang w:eastAsia="lt-LT"/>
        </w:rPr>
        <w:t>Nepaisant taikomo intensyvaus gydymo, ligos atkryčio ir metastazavimo rizika išlieka didelė. Daugiau kaip 50 % pacientų per dvejus metus po chirurginės rezekcijos gali pasireikšti vietinis atkrytis arba tolimosios metastazės, o iki 40 % pacientų ilgainiui išsivysto dažniausiai nepagydoma metastazavusi liga. Todėl išlieka reikšmingas veiksmingesnio perioperacinio gydymo, galinčio sumažinti ligos progresavimo ir atkryčio riziką bei pailginti išgyvenamumą, poreikis.</w:t>
      </w:r>
    </w:p>
    <w:p w14:paraId="1AE6D312" w14:textId="77777777" w:rsidR="00B903AE" w:rsidRPr="000B3A29" w:rsidRDefault="00B903AE" w:rsidP="00B40E8C">
      <w:pPr>
        <w:spacing w:line="276" w:lineRule="auto"/>
        <w:ind w:firstLine="720"/>
        <w:jc w:val="both"/>
        <w:rPr>
          <w:lang w:eastAsia="lt-LT"/>
        </w:rPr>
      </w:pPr>
      <w:r w:rsidRPr="000B3A29">
        <w:rPr>
          <w:lang w:eastAsia="lt-LT"/>
        </w:rPr>
        <w:t>Remiantis 2026 m. NCCN gairėmis, suaugusiems pacientams, sergantiems rezektabilia vietiškai išplitusia GKPLK, kai naviko PD-L1 kombinuotas teigiamas balas (CPS) yra ≥1, rekomenduojama pembrolizumabo neoadjuvantinė monoterapija, po operacijos tęsiant adjuvantinį gydymą pembrolizumabu kartu su spinduline terapija ir cisplatina arba be jos, o vėliau – pembrolizumabo monoterapiją. Ankstesnėse 2020 m. ESMO gairėse ši gydymo schema nenurodyta, nes registracinio KEYNOTE-689 tyrimo rezultatai tuo metu dar nebuvo paskelbti.</w:t>
      </w:r>
    </w:p>
    <w:p w14:paraId="243C24B2" w14:textId="77777777" w:rsidR="00B903AE" w:rsidRPr="000B3A29" w:rsidRDefault="00B903AE" w:rsidP="00B40E8C">
      <w:pPr>
        <w:spacing w:line="276" w:lineRule="auto"/>
        <w:ind w:firstLine="720"/>
        <w:jc w:val="both"/>
        <w:rPr>
          <w:lang w:eastAsia="lt-LT"/>
        </w:rPr>
      </w:pPr>
      <w:r w:rsidRPr="000B3A29">
        <w:rPr>
          <w:lang w:eastAsia="lt-LT"/>
        </w:rPr>
        <w:t>Pembrolizumabas yra humanizuotas monokloninis antikūnas, kuris prisijungia prie PD-1 receptoriaus ir slopina jo sąveiką su PD-L1 bei PD-L2 ligandais. Blokuojant šį slopinamąjį signalą sustiprinamas T limfocitų imuninis atsakas ir priešnavikinis aktyvumas. Siūloma pembrolizumabą skirti pacientams, kurių navikų PD-L1 CPS ≥1, kaip neoadjuvantinę monoterapiją, po operacijos – kartu su spinduline terapija ir cisplatina arba be jos, o vėliau tęsti pembrolizumabo monoterapiją.</w:t>
      </w:r>
    </w:p>
    <w:p w14:paraId="32587B42" w14:textId="77777777" w:rsidR="00B903AE" w:rsidRPr="000B3A29" w:rsidRDefault="00B903AE" w:rsidP="00B40E8C">
      <w:pPr>
        <w:spacing w:line="276" w:lineRule="auto"/>
        <w:ind w:firstLine="720"/>
        <w:jc w:val="both"/>
        <w:rPr>
          <w:lang w:eastAsia="lt-LT"/>
        </w:rPr>
      </w:pPr>
      <w:r w:rsidRPr="000B3A29">
        <w:rPr>
          <w:lang w:eastAsia="lt-LT"/>
        </w:rPr>
        <w:t>Lietuvoje specifinių šios pembrolizumabo indikacijos gydymo rekomendacijų nėra. Įprastą gydymą po chirurginės rezekcijos sudaro spindulinė terapija kartu su trimis cisplatinos ciklais po 100 mg/m² kas tris savaites, kai nustatomi didelės rizikos patologiniai požymiai, arba vien spindulinė terapija, kai tokių požymių nenustatoma. Šiai indikacijai Lietuvoje kompensuojama cisplatina, todėl tinkamu palyginamuoju gydymu laikoma pooperacinė spindulinė terapija su cisplatina arba be jos.</w:t>
      </w:r>
    </w:p>
    <w:p w14:paraId="077D6E78" w14:textId="77777777" w:rsidR="00B903AE" w:rsidRPr="000B3A29" w:rsidRDefault="00B903AE" w:rsidP="00B40E8C">
      <w:pPr>
        <w:tabs>
          <w:tab w:val="left" w:pos="567"/>
        </w:tabs>
        <w:spacing w:line="276" w:lineRule="auto"/>
        <w:jc w:val="both"/>
        <w:rPr>
          <w:b/>
          <w:bCs/>
          <w:caps/>
        </w:rPr>
      </w:pPr>
    </w:p>
    <w:p w14:paraId="72039CC0" w14:textId="77777777" w:rsidR="00B903AE" w:rsidRPr="000B3A29" w:rsidRDefault="00B903AE" w:rsidP="00B40E8C">
      <w:pPr>
        <w:pStyle w:val="font-claude-response-body"/>
        <w:spacing w:before="0" w:beforeAutospacing="0" w:after="0" w:afterAutospacing="0" w:line="276" w:lineRule="auto"/>
        <w:ind w:firstLine="720"/>
        <w:jc w:val="both"/>
        <w:rPr>
          <w:i/>
          <w:iCs/>
        </w:rPr>
      </w:pPr>
      <w:r w:rsidRPr="000B3A29">
        <w:rPr>
          <w:i/>
          <w:iCs/>
        </w:rPr>
        <w:t>Tiesioginis palyginimas</w:t>
      </w:r>
    </w:p>
    <w:p w14:paraId="0FA16392" w14:textId="77777777" w:rsidR="00B903AE" w:rsidRPr="000B3A29" w:rsidRDefault="00B903AE" w:rsidP="00B40E8C">
      <w:pPr>
        <w:spacing w:line="276" w:lineRule="auto"/>
        <w:ind w:firstLine="720"/>
        <w:jc w:val="both"/>
        <w:rPr>
          <w:lang w:eastAsia="lt-LT"/>
        </w:rPr>
      </w:pPr>
      <w:r w:rsidRPr="000B3A29">
        <w:rPr>
          <w:lang w:eastAsia="lt-LT"/>
        </w:rPr>
        <w:t>KEYNOTE-689 tyrimas – tai atviras, daugiacentris, III fazės atsitiktinių imčių klinikinis tyrimas, kuriame vertintas pembrolizumabo įtraukimo į perioperacinį gydymą veiksmingumas anksčiau negydytiems pacientams, sergantiems rezektabilia III–IVA stadijos vietiškai išplitusia galvos ir kaklo plokščialąsteline karcinoma. Tyrime 714 pacientų atsitiktinai santykiu 1:1 paskirstyti į pembrolizumabo grupę (2 neoadjuvantinio gydymo ciklai, chirurginė rezekcija, adjuvantinis pembrolizumabas kartu su spinduline terapija ir cisplatina arba be jos, vėliau – pembrolizumabo monoterapija) arba standartinio gydymo grupę (chirurginė rezekcija ir adjuvantinė spindulinė terapija su cisplatina arba be jos). Tyrimas vykdytas 192 centruose 24 šalyse.</w:t>
      </w:r>
    </w:p>
    <w:p w14:paraId="3D758838" w14:textId="77777777" w:rsidR="00B903AE" w:rsidRPr="000B3A29" w:rsidRDefault="00B903AE" w:rsidP="00B40E8C">
      <w:pPr>
        <w:spacing w:line="276" w:lineRule="auto"/>
        <w:ind w:firstLine="720"/>
        <w:jc w:val="both"/>
        <w:rPr>
          <w:lang w:eastAsia="lt-LT"/>
        </w:rPr>
      </w:pPr>
      <w:r w:rsidRPr="000B3A29">
        <w:rPr>
          <w:lang w:eastAsia="lt-LT"/>
        </w:rPr>
        <w:t xml:space="preserve">Pacientų, kurių navikų PD-L1 CPS ≥1, populiaciją sudarė 682 pacientai: 347 pembrolizumabo ir 335 standartinio gydymo grupėje. Tyrimo populiacija iš esmės atitiko prašomą kompensuoti indikaciją ir Lietuvos klinikinę praktiką, nes buvo įtraukti anksčiau negydyti, operacijai tinkami pacientai, kuriems po operacijos galėjo būti taikoma spindulinė terapija su cisplatina arba be jos. Vis dėlto į tyrimą buvo įtraukti tik ECOG 0–1 funkcinės būklės ir pakankamos organų funkcijos </w:t>
      </w:r>
      <w:r w:rsidRPr="000B3A29">
        <w:rPr>
          <w:lang w:eastAsia="lt-LT"/>
        </w:rPr>
        <w:lastRenderedPageBreak/>
        <w:t>pacientai; moterys sudarė 21,1 %, ŽPV teigiami pacientai – 3,8 %, o 60,5 % pacientų pirminis navikas buvo burnos ertmėje.</w:t>
      </w:r>
    </w:p>
    <w:p w14:paraId="60F79E50" w14:textId="77777777" w:rsidR="00B903AE" w:rsidRPr="000B3A29" w:rsidRDefault="00B903AE" w:rsidP="00B40E8C">
      <w:pPr>
        <w:spacing w:line="276" w:lineRule="auto"/>
        <w:ind w:firstLine="720"/>
        <w:jc w:val="both"/>
        <w:rPr>
          <w:lang w:eastAsia="lt-LT"/>
        </w:rPr>
      </w:pPr>
      <w:r w:rsidRPr="000B3A29">
        <w:rPr>
          <w:lang w:eastAsia="lt-LT"/>
        </w:rPr>
        <w:t>Pirminė vertinamoji baigtis buvo išgyvenamumas be įvykių (EFS), apibrėžtas kaip laikas iki ligos progresavimo, vietinio ar tolimojo atkryčio arba mirties. Antrinės vertinamosios baigtys buvo bendrasis išgyvenamumas (OS), visiškas patologinis atsakas (pCR), reikšmingas patologinis atsakas, su sveikata susijusi gyvenimo kokybė ir saugumas. Duomenų pjūvio data buvo 2024 m. liepos 25 d.; EFS vertintas pagal RECIST 1.1 kriterijus atliekant aklą nepriklausomą centrinį vertinimą, o patologinis atsakas – aklą nepriklausomą patologinį vertinimą.</w:t>
      </w:r>
    </w:p>
    <w:p w14:paraId="16815854" w14:textId="77777777" w:rsidR="00B903AE" w:rsidRPr="000B3A29" w:rsidRDefault="00B903AE" w:rsidP="00B40E8C">
      <w:pPr>
        <w:pStyle w:val="Sraopastraipa"/>
        <w:numPr>
          <w:ilvl w:val="0"/>
          <w:numId w:val="15"/>
        </w:numPr>
        <w:spacing w:line="276" w:lineRule="auto"/>
        <w:jc w:val="both"/>
        <w:rPr>
          <w:lang w:eastAsia="lt-LT"/>
        </w:rPr>
      </w:pPr>
      <w:r w:rsidRPr="000B3A29">
        <w:rPr>
          <w:lang w:eastAsia="lt-LT"/>
        </w:rPr>
        <w:t>Pembrolizumabo grupėje EFS buvo statistiškai reikšmingai ilgesnis nei standartinio gydymo grupėje: EFS mediana siekė 59,7 mėnesio, palyginti su 29,6 mėnesio, o ligos progresavimo, atkryčio arba mirties rizika sumažėjo 30 % (RS 0,70; 95 % PI 0,55–0,89; p = 0,003). Po 12 mėnesių EFS rodiklis buvo 74,8 % ir 61,3 %, po 24 mėnesių – 64,6 % ir 53,4 %, o po 48 mėnesių – 52,1 % ir 42,8 %. Tolimasis ligos progresavimas pembrolizumabo grupėje nustatytas rečiau (6,9 % ir 15,2 %), o gydymo naudos kryptis daugumoje iš anksto numatytų pogrupių buvo palanki pembrolizumabui. Vis dėlto kai kuriuose mažos apimties pogrupiuose įverčiai buvo netikslūs, o nepateikus sąveikos testų negalima patikimai teigti, kad gydymo poveikis tarp pogrupių skyrėsi.</w:t>
      </w:r>
    </w:p>
    <w:p w14:paraId="7B264C41" w14:textId="77777777" w:rsidR="00B903AE" w:rsidRPr="000B3A29" w:rsidRDefault="00B903AE" w:rsidP="00B40E8C">
      <w:pPr>
        <w:pStyle w:val="Sraopastraipa"/>
        <w:numPr>
          <w:ilvl w:val="0"/>
          <w:numId w:val="15"/>
        </w:numPr>
        <w:spacing w:line="276" w:lineRule="auto"/>
        <w:jc w:val="both"/>
        <w:rPr>
          <w:lang w:eastAsia="lt-LT"/>
        </w:rPr>
      </w:pPr>
      <w:r w:rsidRPr="000B3A29">
        <w:rPr>
          <w:lang w:eastAsia="lt-LT"/>
        </w:rPr>
        <w:t>Bendrojo išgyvenamumo duomenys vertinimo metu dar nebuvo galutiniai. OS mediana pembrolizumabo grupėje nebuvo pasiekta, o standartinio gydymo grupėje siekė 61,8 mėnesio; nustatyta pembrolizumabui palanki poveikio kryptis (RS 0,72; 95 % PI 0,56–0,94). Tačiau pagal iš anksto numatytą hierarchinę statistinio testavimo strategiją OS pacientų, kurių PD-L1 CPS ≥1, populiacijoje nebuvo formaliai testuotas, todėl šio rezultato negalima laikyti statistiškai patvirtintu OS pagerėjimu. Galutinė išvada dėl poveikio bendrajam išgyvenamumui priklausys nuo ilgesnio stebėjimo ir vėlesnių suplanuotų analizių.</w:t>
      </w:r>
    </w:p>
    <w:p w14:paraId="07484D3B" w14:textId="77777777" w:rsidR="00B903AE" w:rsidRPr="000B3A29" w:rsidRDefault="00B903AE" w:rsidP="00B40E8C">
      <w:pPr>
        <w:pStyle w:val="Sraopastraipa"/>
        <w:numPr>
          <w:ilvl w:val="0"/>
          <w:numId w:val="15"/>
        </w:numPr>
        <w:spacing w:line="276" w:lineRule="auto"/>
        <w:jc w:val="both"/>
        <w:rPr>
          <w:lang w:eastAsia="lt-LT"/>
        </w:rPr>
      </w:pPr>
      <w:r w:rsidRPr="000B3A29">
        <w:rPr>
          <w:lang w:eastAsia="lt-LT"/>
        </w:rPr>
        <w:t xml:space="preserve">Visiškas patologinis atsakas nustatytas 3,2 % pembrolizumabo grupės pacientų ir nė vienam standartinio gydymo grupės pacientui; absoliutus skirtumas siekė 3,1 procentinio punkto (95 % PI 1,6–5,6). Nors rezultatas buvo palankus pembrolizumabui, pCR pasiekė tik 11 pacientų, todėl šios baigties klinikinė reikšmė yra ribota. </w:t>
      </w:r>
    </w:p>
    <w:p w14:paraId="7BC78E65" w14:textId="77777777" w:rsidR="00B903AE" w:rsidRPr="000B3A29" w:rsidRDefault="00B903AE" w:rsidP="00B40E8C">
      <w:pPr>
        <w:pStyle w:val="Sraopastraipa"/>
        <w:numPr>
          <w:ilvl w:val="0"/>
          <w:numId w:val="15"/>
        </w:numPr>
        <w:spacing w:line="276" w:lineRule="auto"/>
        <w:jc w:val="both"/>
        <w:rPr>
          <w:lang w:eastAsia="lt-LT"/>
        </w:rPr>
      </w:pPr>
      <w:r w:rsidRPr="000B3A29">
        <w:rPr>
          <w:lang w:eastAsia="lt-LT"/>
        </w:rPr>
        <w:t>Su sveikata susijusios gyvenimo kokybės, fizinio funkcionavimo, rijimo, kalbos ir skausmo rodikliai tarp grupių reikšmingai nesiskyrė: 51-ąją savaitę bendros sveikatos būklės ir gyvenimo kokybės pokyčio skirtumas buvo –0,29 balo (95 % PI –4,12–3,54; p = 0,8813).</w:t>
      </w:r>
    </w:p>
    <w:p w14:paraId="31AEC136" w14:textId="77777777" w:rsidR="00B903AE" w:rsidRPr="000B3A29" w:rsidRDefault="00B903AE" w:rsidP="00B40E8C">
      <w:pPr>
        <w:tabs>
          <w:tab w:val="left" w:pos="567"/>
        </w:tabs>
        <w:spacing w:line="276" w:lineRule="auto"/>
        <w:jc w:val="both"/>
        <w:rPr>
          <w:b/>
          <w:bCs/>
          <w:caps/>
        </w:rPr>
      </w:pPr>
    </w:p>
    <w:p w14:paraId="7D0A1F9B" w14:textId="2AEBFCF6" w:rsidR="00F125F8" w:rsidRPr="000B3A29" w:rsidRDefault="00AE74B5" w:rsidP="00B40E8C">
      <w:pPr>
        <w:tabs>
          <w:tab w:val="left" w:pos="426"/>
        </w:tabs>
        <w:spacing w:line="276" w:lineRule="auto"/>
        <w:jc w:val="both"/>
        <w:rPr>
          <w:b/>
          <w:lang w:eastAsia="lt-LT"/>
        </w:rPr>
      </w:pPr>
      <w:r w:rsidRPr="000B3A29">
        <w:tab/>
      </w:r>
      <w:r w:rsidRPr="000B3A29">
        <w:tab/>
      </w:r>
      <w:r w:rsidR="00F125F8" w:rsidRPr="000B3A29">
        <w:t xml:space="preserve">Remiantis pateiktais </w:t>
      </w:r>
      <w:r w:rsidR="00B40E8C" w:rsidRPr="000B3A29">
        <w:t>klinikinio</w:t>
      </w:r>
      <w:r w:rsidR="00F125F8" w:rsidRPr="000B3A29">
        <w:t xml:space="preserve"> tyrimo duomenimis</w:t>
      </w:r>
      <w:r w:rsidR="00B903AE" w:rsidRPr="000B3A29">
        <w:t xml:space="preserve">, nustatyta, kad pembrolizumabo palyginamasis veiksmingumas yra </w:t>
      </w:r>
      <w:r w:rsidR="00B903AE" w:rsidRPr="000B3A29">
        <w:rPr>
          <w:rStyle w:val="Grietas"/>
        </w:rPr>
        <w:t>didesnis</w:t>
      </w:r>
      <w:r w:rsidR="00B903AE" w:rsidRPr="000B3A29">
        <w:t>, lyginant su įprasta klinikine praktika</w:t>
      </w:r>
      <w:r w:rsidR="00F125F8" w:rsidRPr="000B3A29">
        <w:t xml:space="preserve"> (</w:t>
      </w:r>
      <w:r w:rsidR="00F125F8" w:rsidRPr="000B3A29">
        <w:rPr>
          <w:bCs/>
          <w:lang w:eastAsia="lt-LT"/>
        </w:rPr>
        <w:t>a</w:t>
      </w:r>
      <w:r w:rsidR="00F125F8" w:rsidRPr="000B3A29">
        <w:t>titinka 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29.1.1 papunktį).</w:t>
      </w:r>
    </w:p>
    <w:p w14:paraId="39C1ADA8" w14:textId="77777777" w:rsidR="00AC5129" w:rsidRPr="000B3A29" w:rsidRDefault="00AC5129" w:rsidP="00B40E8C">
      <w:pPr>
        <w:pStyle w:val="Sraopastraipa"/>
        <w:tabs>
          <w:tab w:val="left" w:pos="426"/>
        </w:tabs>
        <w:spacing w:line="276" w:lineRule="auto"/>
        <w:ind w:left="0"/>
        <w:rPr>
          <w:b/>
          <w:bCs/>
          <w:caps/>
        </w:rPr>
      </w:pPr>
    </w:p>
    <w:p w14:paraId="7DE09EB5" w14:textId="69E9DD74" w:rsidR="00E03C3F" w:rsidRPr="000B3A29" w:rsidRDefault="00CC7832" w:rsidP="00B40E8C">
      <w:pPr>
        <w:pStyle w:val="Sraopastraipa"/>
        <w:numPr>
          <w:ilvl w:val="0"/>
          <w:numId w:val="12"/>
        </w:numPr>
        <w:tabs>
          <w:tab w:val="left" w:pos="567"/>
        </w:tabs>
        <w:spacing w:line="276" w:lineRule="auto"/>
        <w:ind w:hanging="720"/>
        <w:rPr>
          <w:b/>
          <w:bCs/>
          <w:caps/>
        </w:rPr>
      </w:pPr>
      <w:r w:rsidRPr="000B3A29">
        <w:rPr>
          <w:b/>
          <w:bCs/>
          <w:caps/>
        </w:rPr>
        <w:t xml:space="preserve">ekonominio vertinimo </w:t>
      </w:r>
      <w:r w:rsidR="002F0E4F" w:rsidRPr="000B3A29">
        <w:rPr>
          <w:b/>
          <w:bCs/>
          <w:caps/>
        </w:rPr>
        <w:t>apibendrinimas</w:t>
      </w:r>
    </w:p>
    <w:p w14:paraId="4C144A42" w14:textId="77777777" w:rsidR="00AF4CD5" w:rsidRPr="000B3A29" w:rsidRDefault="00AF4CD5" w:rsidP="00B40E8C">
      <w:pPr>
        <w:tabs>
          <w:tab w:val="left" w:pos="284"/>
        </w:tabs>
        <w:spacing w:line="276" w:lineRule="auto"/>
        <w:rPr>
          <w:highlight w:val="green"/>
        </w:rPr>
      </w:pPr>
    </w:p>
    <w:p w14:paraId="2949418B" w14:textId="77777777" w:rsidR="00AF4CD5" w:rsidRPr="000B3A29" w:rsidRDefault="00AF4CD5" w:rsidP="00B40E8C">
      <w:pPr>
        <w:pStyle w:val="Tekstas"/>
        <w:spacing w:after="0" w:line="276" w:lineRule="auto"/>
        <w:ind w:firstLine="450"/>
        <w:rPr>
          <w:lang w:val="lt-LT"/>
        </w:rPr>
      </w:pPr>
      <w:r w:rsidRPr="000B3A29">
        <w:rPr>
          <w:lang w:val="lt-LT"/>
        </w:rPr>
        <w:t xml:space="preserve">Ekonominio vertinimo tikslinė populiacija apėmė suaugusius pacientus (18 metų ir vyresnius), kuriems neseniai buvo diagnozuota, anksčiau negydyta, </w:t>
      </w:r>
      <w:r w:rsidRPr="000B3A29">
        <w:rPr>
          <w:rFonts w:eastAsia="CIDFont+F2"/>
          <w:lang w:val="lt-LT"/>
        </w:rPr>
        <w:t>rezekuotina vietiškai išplitusi GKPLK</w:t>
      </w:r>
      <w:r w:rsidRPr="000B3A29">
        <w:rPr>
          <w:lang w:val="lt-LT"/>
        </w:rPr>
        <w:t xml:space="preserve"> ir kurių PD-L1 kombinuotas teigiamas balas (CPS) yra ≥1. Ši tikslinė populiacija atitinka EMA nustatytą pembrolizumabo indikaciją </w:t>
      </w:r>
      <w:r w:rsidRPr="000B3A29">
        <w:rPr>
          <w:rFonts w:eastAsia="CIDFont+F2"/>
          <w:lang w:val="lt-LT"/>
        </w:rPr>
        <w:t>rezekuotinos vietiškai išplitusios GKPLK</w:t>
      </w:r>
      <w:r w:rsidRPr="000B3A29">
        <w:rPr>
          <w:lang w:val="lt-LT"/>
        </w:rPr>
        <w:t xml:space="preserve"> gydymui ir </w:t>
      </w:r>
      <w:r w:rsidRPr="000B3A29">
        <w:rPr>
          <w:lang w:val="lt-LT"/>
        </w:rPr>
        <w:lastRenderedPageBreak/>
        <w:t>KEYNOTE-689 tyrimo PD-L1 CPS ≥1 pogrupį, kurio duomenys apie veiksmingumą ir saugumą buvo panaudoti modelyje vertinant neoadjuvantinį pembrolizumabo gydymą, adjuvantinį pembrolizumabo gydymą kartu su standartine terapija (SOC) bei tyrime naudotą palyginamąjį standartinį gydymą (SOC).</w:t>
      </w:r>
    </w:p>
    <w:p w14:paraId="7A642A97" w14:textId="77777777" w:rsidR="00AF4CD5" w:rsidRPr="000B3A29" w:rsidRDefault="00AF4CD5" w:rsidP="00B40E8C">
      <w:pPr>
        <w:pStyle w:val="Tekstas"/>
        <w:spacing w:after="0" w:line="276" w:lineRule="auto"/>
        <w:rPr>
          <w:lang w:val="lt-LT"/>
        </w:rPr>
      </w:pPr>
      <w:r w:rsidRPr="000B3A29">
        <w:rPr>
          <w:lang w:val="lt-LT"/>
        </w:rPr>
        <w:t>Kadangi, klinikinių ekspertų nustatyta, kad pembrolizumabo skyrimas</w:t>
      </w:r>
      <w:r w:rsidRPr="000B3A29">
        <w:rPr>
          <w:bCs/>
          <w:lang w:val="lt-LT"/>
        </w:rPr>
        <w:t xml:space="preserve"> vietiškai išplitusios galvos ir kaklo plokščialąstelinės karcinomos neoadjuvantiniam gydymui, vėliau tęsiant adjuvantiniam gydymui derinant su radioterapija ir kartu su cisplatina arba be jos, bei tuomet vėl skiriant monoterapiją suaugusiesiems, kurių navikai ekspresuoja PD-L1 ir CPS rodmuo yra ≥ 1, yra pagrįstas, o </w:t>
      </w:r>
      <w:r w:rsidRPr="000B3A29">
        <w:rPr>
          <w:lang w:val="lt-LT"/>
        </w:rPr>
        <w:t xml:space="preserve">palyginamasis veiksmingumas yra </w:t>
      </w:r>
      <w:r w:rsidRPr="000B3A29">
        <w:rPr>
          <w:rStyle w:val="Grietas"/>
          <w:b w:val="0"/>
          <w:lang w:val="lt-LT"/>
        </w:rPr>
        <w:t>didesnis</w:t>
      </w:r>
      <w:r w:rsidRPr="000B3A29">
        <w:rPr>
          <w:lang w:val="lt-LT"/>
        </w:rPr>
        <w:t xml:space="preserve"> lyginant su įprasta klinikine praktika, Tarnyba atlieka kaštų </w:t>
      </w:r>
      <w:r w:rsidRPr="000B3A29">
        <w:rPr>
          <w:u w:val="single"/>
          <w:lang w:val="lt-LT"/>
        </w:rPr>
        <w:t xml:space="preserve">naudingumo </w:t>
      </w:r>
      <w:r w:rsidRPr="000B3A29">
        <w:rPr>
          <w:lang w:val="lt-LT"/>
        </w:rPr>
        <w:t>analizę.</w:t>
      </w:r>
    </w:p>
    <w:p w14:paraId="6FC2CC6D" w14:textId="5F42859B" w:rsidR="00AF4CD5" w:rsidRPr="000B3A29" w:rsidRDefault="00AF4CD5" w:rsidP="00B40E8C">
      <w:pPr>
        <w:pStyle w:val="prastasiniatinklio"/>
        <w:spacing w:line="276" w:lineRule="auto"/>
        <w:ind w:firstLine="360"/>
        <w:jc w:val="both"/>
        <w:rPr>
          <w:rFonts w:eastAsia="CIDFont+F2"/>
        </w:rPr>
      </w:pPr>
      <w:r w:rsidRPr="000B3A29">
        <w:t xml:space="preserve">Pareiškėjas KNA įtraukia vaistinių preparatų įsigijimo, skyrimo </w:t>
      </w:r>
      <w:r w:rsidRPr="000B3A29">
        <w:rPr>
          <w:lang w:eastAsia="lt-LT"/>
        </w:rPr>
        <w:t>neoadjuvantinei/adjuvantinei terapijai</w:t>
      </w:r>
      <w:r w:rsidRPr="000B3A29">
        <w:t>, p</w:t>
      </w:r>
      <w:r w:rsidRPr="000B3A29">
        <w:rPr>
          <w:lang w:eastAsia="lt-LT"/>
        </w:rPr>
        <w:t xml:space="preserve">radinės operacijos ir radioterapijos, tolesnės radioterapijos ir gelbėjamosios operacijos L/SR būsenoje, vaistų įsigijimo ir skyrimo tolesnėms terapijoms IRP būsenoje, nepageidaujamo poveikio </w:t>
      </w:r>
      <w:r w:rsidRPr="000B3A29">
        <w:t xml:space="preserve">ir gyvenimo pabaigos kaštus. Tarnyba vertina, kad kaštai ekonominėje analizėje apskaičiuoti ir įtraukti tinkamai. </w:t>
      </w:r>
      <w:r w:rsidRPr="000B3A29">
        <w:rPr>
          <w:rFonts w:eastAsia="CIDFont+F2"/>
        </w:rPr>
        <w:t xml:space="preserve">Atsižvelgiant į pateiktus VLK duomenis (2020 m. gegužės 4 d. sutartis Nr. 1SUT-142 „Dėl Gydymo kompensuojamuoju vaistu Pembrolizumabum prieinamumo gerinimo ir rizikos pasidalijimo“), </w:t>
      </w:r>
      <w:r w:rsidRPr="000B3A29">
        <w:rPr>
          <w:rFonts w:eastAsia="CIDFont+F2"/>
          <w:u w:val="single"/>
        </w:rPr>
        <w:t xml:space="preserve">Tarnyba KNA atlieka taikant </w:t>
      </w:r>
      <w:r w:rsidR="007E6068">
        <w:rPr>
          <w:rFonts w:eastAsia="CIDFont+F2"/>
          <w:u w:val="single"/>
        </w:rPr>
        <w:t>**</w:t>
      </w:r>
      <w:r w:rsidR="006F3B0A">
        <w:rPr>
          <w:rFonts w:eastAsia="CIDFont+F2"/>
          <w:u w:val="single"/>
        </w:rPr>
        <w:t>**</w:t>
      </w:r>
      <w:r w:rsidR="007E6068">
        <w:rPr>
          <w:rFonts w:eastAsia="CIDFont+F2"/>
          <w:u w:val="single"/>
        </w:rPr>
        <w:t>*</w:t>
      </w:r>
      <w:r w:rsidRPr="000B3A29">
        <w:rPr>
          <w:rFonts w:eastAsia="CIDFont+F2"/>
          <w:u w:val="single"/>
        </w:rPr>
        <w:t xml:space="preserve"> Eur. bazinę pembrolizumabo kainą </w:t>
      </w:r>
      <w:r w:rsidRPr="000B3A29">
        <w:rPr>
          <w:rFonts w:eastAsia="CIDFont+F2"/>
        </w:rPr>
        <w:t xml:space="preserve">(plačiau aprašyta vertinimo protokolo Vaistinių preparatų įsigijimo kaštai skiltyje). Palyginamojo standartinio gydymo (cisplatinos) bei sekančių eilių VP įsigijimo kaštai įtraukiami pagal 2026 m. II pusm. VLK kainyno įkainius. </w:t>
      </w:r>
    </w:p>
    <w:p w14:paraId="1F296F41" w14:textId="00FE84BD" w:rsidR="00AF4CD5" w:rsidRPr="000B3A29" w:rsidRDefault="00AF4CD5" w:rsidP="00B40E8C">
      <w:pPr>
        <w:pStyle w:val="prastasiniatinklio"/>
        <w:spacing w:line="276" w:lineRule="auto"/>
        <w:ind w:firstLine="360"/>
        <w:jc w:val="both"/>
      </w:pPr>
      <w:r w:rsidRPr="000B3A29">
        <w:rPr>
          <w:rFonts w:eastAsia="Arial"/>
        </w:rPr>
        <w:t>Gydymo trukmė (ToT) KNA modeliuojama pagal faktinius KEYNOTE-689 klinikinio tyrimo duomenis: r</w:t>
      </w:r>
      <w:r w:rsidRPr="000B3A29">
        <w:t>emiantis maksimaliu kiekvienos vaisto sudedamosios dalies ciklų skaičiumi kiekvienoje grupėje, tyrime buvo pakankamai stebėjimo duomenų, kad būtų galima tiesiogiai nustatyti pacientų, kuriems buvo atliktas kiekvienas gydymo ciklas proporcijas ir nereikėjo taikyti ekstrapoliacijos (</w:t>
      </w:r>
      <w:r w:rsidRPr="000B3A29">
        <w:rPr>
          <w:rFonts w:eastAsia="CIDFont+F2"/>
        </w:rPr>
        <w:t xml:space="preserve">remiantis KEYNOTE-689 tyrimo duomenimis, pembrolizumabo gydymo trukmės mediana buvo 9,1 mėn. pembrolizumabo grupėje, </w:t>
      </w:r>
      <w:r w:rsidRPr="000B3A29">
        <w:rPr>
          <w:rFonts w:eastAsia="Arial"/>
        </w:rPr>
        <w:t>KNA taikoma maksimalios strukmės stabdymo taisyklė (~1 m. (17 ciklų)</w:t>
      </w:r>
      <w:r w:rsidRPr="000B3A29">
        <w:rPr>
          <w:rFonts w:eastAsia="CIDFont+F2"/>
        </w:rPr>
        <w:t>). KNA taikomas dozavimas atitinka</w:t>
      </w:r>
      <w:r w:rsidRPr="000B3A29">
        <w:t xml:space="preserve"> </w:t>
      </w:r>
      <w:r w:rsidRPr="000B3A29">
        <w:rPr>
          <w:rFonts w:eastAsia="Arial"/>
        </w:rPr>
        <w:t>numatytą VPCS: n</w:t>
      </w:r>
      <w:r w:rsidRPr="000B3A29">
        <w:rPr>
          <w:lang w:eastAsia="lt-LT"/>
        </w:rPr>
        <w:t xml:space="preserve">eoadjuvantinio pembrolizumabo / adjuvantinio pembrolizumabo + SOC grupėje pembrolizumabas skiriamas kaip fiksuota 200 mg dozė į veną kas 3 savaites (Q3W) iki 2 ciklų neoadjuvantiniu laikotarpiu prieš operaciją ir iki 15 ciklų adjuvantiniu laikotarpiu po operacijos; abiejose grupėse didelės rizikos pacientams cisplatina buvo skiriama į veną 100 mg/m² doze kas 3 savaites (Q3W) ne daugiau kaip 3 ciklus.). Dėl VP dozavimo daroma prielaida, kad buteliukų dalijimasis neleidžiamas. Taikomas </w:t>
      </w:r>
      <w:r w:rsidR="003F6087">
        <w:rPr>
          <w:lang w:eastAsia="lt-LT"/>
        </w:rPr>
        <w:t>**</w:t>
      </w:r>
      <w:r w:rsidRPr="000B3A29">
        <w:rPr>
          <w:lang w:eastAsia="lt-LT"/>
        </w:rPr>
        <w:t xml:space="preserve"> proc. dozavimas (dėl realios gydymo praktikos Lietuvoje duomenų trūkumo bei atsižvelgiant, kad neoadjuvantiniam/adjuvantiniam gydymui Pareiškėjas taip pat taiko </w:t>
      </w:r>
      <w:r w:rsidR="008D19D8">
        <w:rPr>
          <w:lang w:eastAsia="lt-LT"/>
        </w:rPr>
        <w:t>**</w:t>
      </w:r>
      <w:r w:rsidRPr="000B3A29">
        <w:rPr>
          <w:lang w:eastAsia="lt-LT"/>
        </w:rPr>
        <w:t xml:space="preserve"> proc.)</w:t>
      </w:r>
      <w:r w:rsidRPr="000B3A29">
        <w:rPr>
          <w:rFonts w:eastAsia="Arial"/>
        </w:rPr>
        <w:t>.</w:t>
      </w:r>
    </w:p>
    <w:p w14:paraId="139DDB9F" w14:textId="77777777" w:rsidR="00AF4CD5" w:rsidRPr="000B3A29" w:rsidRDefault="00AF4CD5" w:rsidP="00B40E8C">
      <w:pPr>
        <w:spacing w:line="276" w:lineRule="auto"/>
        <w:ind w:firstLine="450"/>
        <w:jc w:val="both"/>
      </w:pPr>
      <w:r w:rsidRPr="000B3A29">
        <w:t>Sveikatai sukuriama nauda buvo vertinama pagal su sveikata susijusią gyvenimo kokybę (angl. Health realated quality of life, HRQoL), kuri buvo įvertinta remiantis</w:t>
      </w:r>
      <w:r w:rsidRPr="000B3A29">
        <w:rPr>
          <w:lang w:eastAsia="lt-LT"/>
        </w:rPr>
        <w:t xml:space="preserve"> EQ-5D-5L KEYNOTE-689 ir QLQ-C30 EXTREME (NICE TA473) klinikinių tyrimų duomenimis ir </w:t>
      </w:r>
      <w:r w:rsidRPr="000B3A29">
        <w:rPr>
          <w:snapToGrid w:val="0"/>
        </w:rPr>
        <w:t>priklausomai nuo sveikatos būklės vienodus abiems gydymo grupėms. Tarnyba KNA taiko gyvenimo kokybės įverčius kurie nustatyti tik pembrolizumabo pagrindinio klinikinio tyrimo (</w:t>
      </w:r>
      <w:r w:rsidRPr="000B3A29">
        <w:rPr>
          <w:lang w:eastAsia="lt-LT"/>
        </w:rPr>
        <w:t xml:space="preserve">KEYNOTE-689 ) metu. </w:t>
      </w:r>
      <w:r w:rsidRPr="000B3A29">
        <w:rPr>
          <w:rFonts w:eastAsia="CIDFont+F1"/>
        </w:rPr>
        <w:t xml:space="preserve">Pareiškėjas KNA įtraukia su nepageidaujamu poveikiu susijusių gyvenimo kokybės praradimų (angl. disutilities) įverčius. </w:t>
      </w:r>
      <w:r w:rsidRPr="000B3A29">
        <w:t>Tarnyba vertina, kad ekonominėje analizėje taikomi gyvenimo</w:t>
      </w:r>
      <w:r w:rsidRPr="000B3A29">
        <w:rPr>
          <w:snapToGrid w:val="0"/>
        </w:rPr>
        <w:t xml:space="preserve"> </w:t>
      </w:r>
      <w:r w:rsidRPr="000B3A29">
        <w:t>kokybės įverčiai yra tinkami ir pagrįsti.</w:t>
      </w:r>
    </w:p>
    <w:p w14:paraId="29FF0F6C" w14:textId="0CF74384" w:rsidR="00AF4CD5" w:rsidRPr="000B3A29" w:rsidRDefault="00AF4CD5" w:rsidP="00B40E8C">
      <w:pPr>
        <w:spacing w:line="276" w:lineRule="auto"/>
        <w:ind w:firstLine="450"/>
        <w:jc w:val="both"/>
        <w:rPr>
          <w:lang w:eastAsia="lt-LT"/>
        </w:rPr>
      </w:pPr>
      <w:r w:rsidRPr="000B3A29">
        <w:rPr>
          <w:lang w:eastAsia="lt-LT"/>
        </w:rPr>
        <w:t>KNA taikomas Markovo modelis iš keturių tarpusavyje nesusijusių sveikatos būklių: 1) be įvykių [EF]; 2) vietinis arba išgydomas recidyvas [L/SR]; 3) neišgydomas recidyvas/progresavimas [IRP]; 4) mirtis. Po klinikinio tyrimo pabaigos KNA taikoma duomenų ekstrapoliacija. Modelyje t</w:t>
      </w:r>
      <w:r w:rsidRPr="000B3A29">
        <w:rPr>
          <w:rFonts w:eastAsia="Arial"/>
        </w:rPr>
        <w:t xml:space="preserve">aikoma viso gyvenimo laiko trukmės (40,1 m., vid. pacientų amžius – </w:t>
      </w:r>
      <w:r w:rsidR="00353DF0">
        <w:rPr>
          <w:rFonts w:eastAsia="Arial"/>
        </w:rPr>
        <w:t>***</w:t>
      </w:r>
      <w:r w:rsidRPr="000B3A29">
        <w:rPr>
          <w:rFonts w:eastAsia="Arial"/>
        </w:rPr>
        <w:t xml:space="preserve"> m.) perspektyva, kurią </w:t>
      </w:r>
      <w:r w:rsidRPr="000B3A29">
        <w:rPr>
          <w:rFonts w:eastAsia="Arial"/>
        </w:rPr>
        <w:lastRenderedPageBreak/>
        <w:t xml:space="preserve">Tarnyba trumpina iki 30 m. (kadangi 30 m. laiko perspektyva faktiškai padengia daugiau nei 99 proc. pacientų gyvenimo trukmės). </w:t>
      </w:r>
      <w:r w:rsidRPr="000B3A29">
        <w:rPr>
          <w:lang w:eastAsia="lt-LT"/>
        </w:rPr>
        <w:t xml:space="preserve">Pareiškėjas duomenų ekstrapoliacijos modeliavimo parinkimui taiko atrankos schemą/seką (detalizuojama Vertinimo protokolo prielaidų skiltyje). </w:t>
      </w:r>
    </w:p>
    <w:p w14:paraId="38FF5F9A" w14:textId="3D777DB7" w:rsidR="00AF4CD5" w:rsidRPr="000B3A29" w:rsidRDefault="00AF4CD5" w:rsidP="00B40E8C">
      <w:pPr>
        <w:spacing w:line="276" w:lineRule="auto"/>
        <w:ind w:firstLine="450"/>
        <w:jc w:val="both"/>
        <w:rPr>
          <w:highlight w:val="green"/>
          <w:lang w:eastAsia="lt-LT"/>
        </w:rPr>
      </w:pPr>
      <w:r w:rsidRPr="000B3A29">
        <w:rPr>
          <w:lang w:eastAsia="lt-LT"/>
        </w:rPr>
        <w:t xml:space="preserve">Pareiškėjo pateiktoje KNA duomenų ekstrapoliacijai po klinikinio tyrimo pabaigos yra vertinami 397 galimi deriniai. Tarnyba vertina, kad </w:t>
      </w:r>
      <w:r w:rsidRPr="000B3A29">
        <w:rPr>
          <w:rFonts w:eastAsia="Arial"/>
          <w:bCs/>
        </w:rPr>
        <w:t>pagrindinės</w:t>
      </w:r>
      <w:r w:rsidRPr="000B3A29">
        <w:t xml:space="preserve"> </w:t>
      </w:r>
      <w:r w:rsidRPr="000B3A29">
        <w:rPr>
          <w:lang w:eastAsia="lt-LT"/>
        </w:rPr>
        <w:t xml:space="preserve">Pareiškėjo taikomos prielaidos, vertinant efektyvumo skirtumus tarp siūlomo ir palyginamojo gydymo yra pagrįstos trumpuoju laikotarpiu. Vertinant ilguoju laikotarpiu (po klinikinio tyrimo pabaigos), atkreiptinas dėmesys, kad </w:t>
      </w:r>
      <w:r w:rsidRPr="000B3A29">
        <w:t xml:space="preserve">KN-689 klinikinio tyrimo pembolizumabo </w:t>
      </w:r>
      <w:r w:rsidRPr="000B3A29">
        <w:rPr>
          <w:lang w:eastAsia="lt-LT"/>
        </w:rPr>
        <w:t xml:space="preserve">bendrojo išgyvenamumo duomenys yra nebrandūs, gydymas taikomas vienerius metus (taikoma stabdymo </w:t>
      </w:r>
      <w:r w:rsidR="00B40E8C" w:rsidRPr="000B3A29">
        <w:rPr>
          <w:lang w:eastAsia="lt-LT"/>
        </w:rPr>
        <w:t>taisyklė</w:t>
      </w:r>
      <w:r w:rsidRPr="000B3A29">
        <w:rPr>
          <w:lang w:eastAsia="lt-LT"/>
        </w:rPr>
        <w:t>), kai tuo tarpu duomenys yra ekstrapoliuojami ir vertinami visoje pacientų gyvenimo perspektyvoje, o priklausomai nuo taikomo modeliavimo yra stebimi reikšmingi galutinės ekonominės analizės rezultatų (ICER) pokyčiai. Atsižvelgiant į aukščiau minėtus trūkumus bei s</w:t>
      </w:r>
      <w:r w:rsidRPr="000B3A29">
        <w:t xml:space="preserve">iekiant sumažinti individualių kreivių modeliavimo galimus neapibrėžtumus dėl  galimai  dirbtinio kreivių išsiskyrimo ir vaisto efektyvumo pervertinimo, Tarnyba </w:t>
      </w:r>
      <w:r w:rsidRPr="000B3A29">
        <w:rPr>
          <w:lang w:eastAsia="en-GB"/>
        </w:rPr>
        <w:t xml:space="preserve">įtraukia </w:t>
      </w:r>
      <w:r w:rsidRPr="000B3A29">
        <w:t xml:space="preserve">gydymo efekto nykimo (angl. treatment effect wanning) prielaidą, </w:t>
      </w:r>
      <w:r w:rsidRPr="000B3A29">
        <w:rPr>
          <w:rFonts w:eastAsia="Arial"/>
        </w:rPr>
        <w:t>kai gydymo efektas pradeda mažėti 3-iasiais metais (po klinikinio tyrimo pabaigos) ir susilygina su SOC gydymo grupės rizika 5-aisiais metais.</w:t>
      </w:r>
    </w:p>
    <w:p w14:paraId="380367B8" w14:textId="604CD648" w:rsidR="00AF4CD5" w:rsidRPr="000B3A29" w:rsidRDefault="00AF4CD5" w:rsidP="00B40E8C">
      <w:pPr>
        <w:spacing w:line="276" w:lineRule="auto"/>
        <w:jc w:val="both"/>
      </w:pPr>
      <w:r w:rsidRPr="000B3A29">
        <w:t>Tarnyba taip pat atkreipia dėmesį, kad įprastai o</w:t>
      </w:r>
      <w:r w:rsidRPr="000B3A29">
        <w:rPr>
          <w:lang w:eastAsia="en-GB"/>
        </w:rPr>
        <w:t xml:space="preserve">nkologijoje po tam tikro laiko (pvz., po 3–5 metų be atkryčio) klinikinė rizika atkristi mažėja. Taikant Gompertz modeliavimą rizika nėra pastovi (netaikomas kreivės plateau), todėl modeliuojamas santykinai </w:t>
      </w:r>
      <w:r w:rsidRPr="000B3A29">
        <w:rPr>
          <w:bCs/>
          <w:lang w:eastAsia="en-GB"/>
        </w:rPr>
        <w:t xml:space="preserve">aukštas atkryčių skaičius (ilgesnėje perspektyvoje) </w:t>
      </w:r>
      <w:r w:rsidRPr="000B3A29">
        <w:rPr>
          <w:lang w:eastAsia="en-GB"/>
        </w:rPr>
        <w:t xml:space="preserve">– tai yra </w:t>
      </w:r>
      <w:r w:rsidRPr="000B3A29">
        <w:rPr>
          <w:bCs/>
          <w:lang w:eastAsia="en-GB"/>
        </w:rPr>
        <w:t>pesimistiškas (konservatyvus)</w:t>
      </w:r>
      <w:r w:rsidRPr="000B3A29">
        <w:rPr>
          <w:lang w:eastAsia="en-GB"/>
        </w:rPr>
        <w:t xml:space="preserve"> scenarijus ligos išlikimo (EFS) atžvilgiu. </w:t>
      </w:r>
      <w:r w:rsidRPr="000B3A29">
        <w:t>Įprastinėje atvejo analizėje pasirinktas modeliavimas (t. y. Gompertzo pasiskirstymas EF → L/SR, Gompertzo pasiskirstymas EF → IRP ir gen gamma pasiskirstymas EF → mirtis pagal 1-ąjį metodą) buvo vienas iš konservatyviausių iš 10 galutinių atrankos derinių, prognozuojantis papildomą EFS ir OS naudą atitinkamai 10,4 ir 9,7 procentinių punktų per 10 metų, duomenys validuojami išorės literatūros šaltiniais. Apibendrinant, Tarnyba vertina, kad įprastinėje atvejo analizėje duomenų ekstrapoliacijai taikomi metodai yra tinkami, kadangi scenarijų analizėje vertinant alternatyvius scenarijus matyti, kad apskaičiuotas ICER nė vienu atveju neviršija vidutinei ligos naštai taikomos referencinės kaštų naudingumo vertės.</w:t>
      </w:r>
    </w:p>
    <w:p w14:paraId="1A900598" w14:textId="4826E5DF" w:rsidR="00C62B36" w:rsidRPr="000B3A29" w:rsidRDefault="00C62B36" w:rsidP="00B40E8C">
      <w:pPr>
        <w:tabs>
          <w:tab w:val="left" w:pos="426"/>
        </w:tabs>
        <w:spacing w:line="276" w:lineRule="auto"/>
        <w:rPr>
          <w:b/>
          <w:bCs/>
          <w:caps/>
          <w:highlight w:val="green"/>
        </w:rPr>
      </w:pPr>
    </w:p>
    <w:p w14:paraId="174D84D7" w14:textId="09C7BC2B" w:rsidR="0035172D" w:rsidRPr="000B3A29" w:rsidRDefault="00164D64" w:rsidP="00B40E8C">
      <w:pPr>
        <w:tabs>
          <w:tab w:val="left" w:pos="426"/>
        </w:tabs>
        <w:spacing w:line="276" w:lineRule="auto"/>
        <w:rPr>
          <w:b/>
          <w:lang w:eastAsia="lt-LT"/>
        </w:rPr>
      </w:pPr>
      <w:r w:rsidRPr="000B3A29">
        <w:rPr>
          <w:b/>
          <w:lang w:eastAsia="lt-LT"/>
        </w:rPr>
        <w:t xml:space="preserve">3.1 </w:t>
      </w:r>
      <w:r w:rsidR="0035172D" w:rsidRPr="000B3A29">
        <w:rPr>
          <w:b/>
          <w:lang w:eastAsia="lt-LT"/>
        </w:rPr>
        <w:t>Ekonominės analizės rezultatas</w:t>
      </w:r>
    </w:p>
    <w:p w14:paraId="4801D227" w14:textId="77777777" w:rsidR="009E44AE" w:rsidRPr="000B3A29" w:rsidRDefault="009E44AE" w:rsidP="00B40E8C">
      <w:pPr>
        <w:tabs>
          <w:tab w:val="left" w:pos="426"/>
        </w:tabs>
        <w:spacing w:line="276" w:lineRule="auto"/>
        <w:rPr>
          <w:b/>
          <w:lang w:eastAsia="lt-LT"/>
        </w:rPr>
      </w:pPr>
    </w:p>
    <w:tbl>
      <w:tblPr>
        <w:tblStyle w:val="Lentelstinklelis1"/>
        <w:tblW w:w="943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00"/>
        <w:gridCol w:w="3239"/>
      </w:tblGrid>
      <w:tr w:rsidR="00334F18" w:rsidRPr="000B3A29" w14:paraId="42D6C843" w14:textId="77777777" w:rsidTr="00BE7489">
        <w:trPr>
          <w:trHeight w:val="344"/>
          <w:jc w:val="center"/>
        </w:trPr>
        <w:tc>
          <w:tcPr>
            <w:tcW w:w="9439" w:type="dxa"/>
            <w:gridSpan w:val="2"/>
            <w:tcBorders>
              <w:top w:val="single" w:sz="12" w:space="0" w:color="auto"/>
              <w:left w:val="single" w:sz="4" w:space="0" w:color="auto"/>
              <w:right w:val="single" w:sz="4" w:space="0" w:color="auto"/>
            </w:tcBorders>
            <w:vAlign w:val="center"/>
          </w:tcPr>
          <w:p w14:paraId="39FD3B40" w14:textId="77777777" w:rsidR="009E44AE" w:rsidRPr="000B3A29" w:rsidRDefault="009E44AE" w:rsidP="00B40E8C">
            <w:pPr>
              <w:tabs>
                <w:tab w:val="left" w:pos="567"/>
              </w:tabs>
              <w:spacing w:line="276" w:lineRule="auto"/>
              <w:jc w:val="center"/>
              <w:rPr>
                <w:b/>
                <w:bCs/>
                <w:sz w:val="26"/>
                <w:szCs w:val="26"/>
                <w:lang w:eastAsia="lt-LT"/>
              </w:rPr>
            </w:pPr>
            <w:r w:rsidRPr="000B3A29">
              <w:rPr>
                <w:b/>
                <w:bCs/>
                <w:sz w:val="26"/>
                <w:szCs w:val="26"/>
                <w:lang w:eastAsia="lt-LT"/>
              </w:rPr>
              <w:t>Rezultatai</w:t>
            </w:r>
          </w:p>
        </w:tc>
      </w:tr>
      <w:tr w:rsidR="00334F18" w:rsidRPr="000B3A29" w14:paraId="319AF392" w14:textId="77777777" w:rsidTr="00AF4CD5">
        <w:trPr>
          <w:trHeight w:val="267"/>
          <w:jc w:val="center"/>
        </w:trPr>
        <w:tc>
          <w:tcPr>
            <w:tcW w:w="6200" w:type="dxa"/>
            <w:tcBorders>
              <w:left w:val="single" w:sz="4" w:space="0" w:color="auto"/>
            </w:tcBorders>
          </w:tcPr>
          <w:p w14:paraId="44CD8D27" w14:textId="27245A0B" w:rsidR="00BA5DBC" w:rsidRPr="000B3A29" w:rsidRDefault="00BA5DBC" w:rsidP="00B40E8C">
            <w:pPr>
              <w:tabs>
                <w:tab w:val="left" w:pos="567"/>
              </w:tabs>
              <w:spacing w:line="276" w:lineRule="auto"/>
              <w:jc w:val="right"/>
              <w:rPr>
                <w:lang w:eastAsia="lt-LT"/>
              </w:rPr>
            </w:pPr>
            <w:r w:rsidRPr="000B3A29">
              <w:rPr>
                <w:lang w:eastAsia="lt-LT"/>
              </w:rPr>
              <w:t>Kaštų skirtumas</w:t>
            </w:r>
          </w:p>
        </w:tc>
        <w:tc>
          <w:tcPr>
            <w:tcW w:w="3239" w:type="dxa"/>
            <w:tcBorders>
              <w:right w:val="single" w:sz="4" w:space="0" w:color="auto"/>
            </w:tcBorders>
          </w:tcPr>
          <w:p w14:paraId="1CACF0B4" w14:textId="32685903" w:rsidR="00BA5DBC" w:rsidRPr="000B3A29" w:rsidRDefault="004B21B3" w:rsidP="00B40E8C">
            <w:pPr>
              <w:tabs>
                <w:tab w:val="left" w:pos="567"/>
              </w:tabs>
              <w:spacing w:line="276" w:lineRule="auto"/>
              <w:jc w:val="both"/>
              <w:rPr>
                <w:lang w:eastAsia="lt-LT"/>
              </w:rPr>
            </w:pPr>
            <w:r>
              <w:rPr>
                <w:color w:val="000000"/>
              </w:rPr>
              <w:t>*****</w:t>
            </w:r>
          </w:p>
        </w:tc>
      </w:tr>
      <w:tr w:rsidR="00334F18" w:rsidRPr="000B3A29" w14:paraId="49F818A3" w14:textId="77777777" w:rsidTr="00AF4CD5">
        <w:trPr>
          <w:trHeight w:val="267"/>
          <w:jc w:val="center"/>
        </w:trPr>
        <w:tc>
          <w:tcPr>
            <w:tcW w:w="6200" w:type="dxa"/>
            <w:tcBorders>
              <w:left w:val="single" w:sz="4" w:space="0" w:color="auto"/>
            </w:tcBorders>
          </w:tcPr>
          <w:p w14:paraId="021DB925" w14:textId="389F1BF5" w:rsidR="00BA5DBC" w:rsidRPr="000B3A29" w:rsidRDefault="00BA5DBC" w:rsidP="00B40E8C">
            <w:pPr>
              <w:tabs>
                <w:tab w:val="left" w:pos="567"/>
              </w:tabs>
              <w:spacing w:line="276" w:lineRule="auto"/>
              <w:jc w:val="right"/>
              <w:rPr>
                <w:lang w:eastAsia="lt-LT"/>
              </w:rPr>
            </w:pPr>
            <w:r w:rsidRPr="000B3A29">
              <w:rPr>
                <w:lang w:eastAsia="lt-LT"/>
              </w:rPr>
              <w:t>Papildomi gyvenimo metai (LY)</w:t>
            </w:r>
          </w:p>
        </w:tc>
        <w:tc>
          <w:tcPr>
            <w:tcW w:w="3239" w:type="dxa"/>
            <w:tcBorders>
              <w:right w:val="single" w:sz="4" w:space="0" w:color="auto"/>
            </w:tcBorders>
          </w:tcPr>
          <w:p w14:paraId="4954817B" w14:textId="3ABD1BE5" w:rsidR="00BA5DBC" w:rsidRPr="000B3A29" w:rsidRDefault="004B21B3" w:rsidP="00B40E8C">
            <w:pPr>
              <w:tabs>
                <w:tab w:val="left" w:pos="567"/>
              </w:tabs>
              <w:spacing w:line="276" w:lineRule="auto"/>
              <w:jc w:val="both"/>
              <w:rPr>
                <w:lang w:eastAsia="lt-LT"/>
              </w:rPr>
            </w:pPr>
            <w:r>
              <w:rPr>
                <w:color w:val="000000"/>
              </w:rPr>
              <w:t>*****</w:t>
            </w:r>
          </w:p>
        </w:tc>
      </w:tr>
      <w:tr w:rsidR="00334F18" w:rsidRPr="000B3A29" w14:paraId="20ADA742" w14:textId="77777777" w:rsidTr="00AF4CD5">
        <w:trPr>
          <w:trHeight w:val="267"/>
          <w:jc w:val="center"/>
        </w:trPr>
        <w:tc>
          <w:tcPr>
            <w:tcW w:w="6200" w:type="dxa"/>
            <w:tcBorders>
              <w:left w:val="single" w:sz="4" w:space="0" w:color="auto"/>
            </w:tcBorders>
          </w:tcPr>
          <w:p w14:paraId="0F567576" w14:textId="2606A2E9" w:rsidR="00BA5DBC" w:rsidRPr="000B3A29" w:rsidRDefault="0058712F" w:rsidP="00B40E8C">
            <w:pPr>
              <w:tabs>
                <w:tab w:val="left" w:pos="567"/>
              </w:tabs>
              <w:spacing w:line="276" w:lineRule="auto"/>
              <w:jc w:val="right"/>
              <w:rPr>
                <w:lang w:eastAsia="lt-LT"/>
              </w:rPr>
            </w:pPr>
            <w:r w:rsidRPr="000B3A29">
              <w:rPr>
                <w:lang w:eastAsia="lt-LT"/>
              </w:rPr>
              <w:t>Papildomi k</w:t>
            </w:r>
            <w:r w:rsidR="00BA5DBC" w:rsidRPr="000B3A29">
              <w:rPr>
                <w:lang w:eastAsia="lt-LT"/>
              </w:rPr>
              <w:t>okybiški gyvenimo metai (QALY)</w:t>
            </w:r>
          </w:p>
        </w:tc>
        <w:tc>
          <w:tcPr>
            <w:tcW w:w="3239" w:type="dxa"/>
            <w:tcBorders>
              <w:right w:val="single" w:sz="4" w:space="0" w:color="auto"/>
            </w:tcBorders>
          </w:tcPr>
          <w:p w14:paraId="02E4DAE1" w14:textId="5CAE0E8F" w:rsidR="00BA5DBC" w:rsidRPr="000B3A29" w:rsidRDefault="004B21B3" w:rsidP="00B40E8C">
            <w:pPr>
              <w:tabs>
                <w:tab w:val="left" w:pos="567"/>
              </w:tabs>
              <w:spacing w:line="276" w:lineRule="auto"/>
              <w:jc w:val="both"/>
              <w:rPr>
                <w:lang w:eastAsia="lt-LT"/>
              </w:rPr>
            </w:pPr>
            <w:r>
              <w:rPr>
                <w:color w:val="000000"/>
              </w:rPr>
              <w:t>*****</w:t>
            </w:r>
          </w:p>
        </w:tc>
      </w:tr>
      <w:tr w:rsidR="00AF4CD5" w:rsidRPr="000B3A29" w14:paraId="1FADA2B3" w14:textId="77777777" w:rsidTr="00AF4CD5">
        <w:trPr>
          <w:trHeight w:val="267"/>
          <w:jc w:val="center"/>
        </w:trPr>
        <w:tc>
          <w:tcPr>
            <w:tcW w:w="6200" w:type="dxa"/>
            <w:tcBorders>
              <w:left w:val="single" w:sz="4" w:space="0" w:color="auto"/>
            </w:tcBorders>
          </w:tcPr>
          <w:p w14:paraId="13E089E8" w14:textId="0BCEB339" w:rsidR="00AF4CD5" w:rsidRPr="000B3A29" w:rsidRDefault="00AF4CD5" w:rsidP="00B40E8C">
            <w:pPr>
              <w:tabs>
                <w:tab w:val="left" w:pos="567"/>
              </w:tabs>
              <w:spacing w:line="276" w:lineRule="auto"/>
              <w:jc w:val="right"/>
              <w:rPr>
                <w:lang w:eastAsia="lt-LT"/>
              </w:rPr>
            </w:pPr>
            <w:r w:rsidRPr="000B3A29">
              <w:rPr>
                <w:lang w:eastAsia="lt-LT"/>
              </w:rPr>
              <w:t>ICER už LY</w:t>
            </w:r>
          </w:p>
        </w:tc>
        <w:tc>
          <w:tcPr>
            <w:tcW w:w="3239" w:type="dxa"/>
            <w:tcBorders>
              <w:right w:val="single" w:sz="4" w:space="0" w:color="auto"/>
            </w:tcBorders>
          </w:tcPr>
          <w:p w14:paraId="2817448D" w14:textId="460ACA54" w:rsidR="00AF4CD5" w:rsidRPr="000B3A29" w:rsidRDefault="004B21B3" w:rsidP="00B40E8C">
            <w:pPr>
              <w:tabs>
                <w:tab w:val="left" w:pos="567"/>
              </w:tabs>
              <w:spacing w:line="276" w:lineRule="auto"/>
              <w:jc w:val="both"/>
              <w:rPr>
                <w:lang w:eastAsia="lt-LT"/>
              </w:rPr>
            </w:pPr>
            <w:r>
              <w:rPr>
                <w:color w:val="000000"/>
              </w:rPr>
              <w:t>*****</w:t>
            </w:r>
          </w:p>
        </w:tc>
      </w:tr>
      <w:tr w:rsidR="00AF4CD5" w:rsidRPr="000B3A29" w14:paraId="250DE960" w14:textId="77777777" w:rsidTr="00AF4CD5">
        <w:trPr>
          <w:trHeight w:val="267"/>
          <w:jc w:val="center"/>
        </w:trPr>
        <w:tc>
          <w:tcPr>
            <w:tcW w:w="6200" w:type="dxa"/>
            <w:tcBorders>
              <w:left w:val="single" w:sz="4" w:space="0" w:color="auto"/>
            </w:tcBorders>
          </w:tcPr>
          <w:p w14:paraId="207EFB23" w14:textId="77777777" w:rsidR="00AF4CD5" w:rsidRPr="000B3A29" w:rsidRDefault="00AF4CD5" w:rsidP="00B40E8C">
            <w:pPr>
              <w:tabs>
                <w:tab w:val="left" w:pos="567"/>
              </w:tabs>
              <w:spacing w:line="276" w:lineRule="auto"/>
              <w:jc w:val="right"/>
              <w:rPr>
                <w:lang w:eastAsia="lt-LT"/>
              </w:rPr>
            </w:pPr>
            <w:r w:rsidRPr="000B3A29">
              <w:rPr>
                <w:lang w:eastAsia="lt-LT"/>
              </w:rPr>
              <w:t>ICER už QALY</w:t>
            </w:r>
          </w:p>
        </w:tc>
        <w:tc>
          <w:tcPr>
            <w:tcW w:w="3239" w:type="dxa"/>
            <w:tcBorders>
              <w:right w:val="single" w:sz="4" w:space="0" w:color="auto"/>
            </w:tcBorders>
          </w:tcPr>
          <w:p w14:paraId="4275320D" w14:textId="653C829C" w:rsidR="00AF4CD5" w:rsidRPr="000B3A29" w:rsidRDefault="004B21B3" w:rsidP="00B40E8C">
            <w:pPr>
              <w:tabs>
                <w:tab w:val="left" w:pos="567"/>
              </w:tabs>
              <w:spacing w:line="276" w:lineRule="auto"/>
              <w:jc w:val="both"/>
              <w:rPr>
                <w:lang w:eastAsia="lt-LT"/>
              </w:rPr>
            </w:pPr>
            <w:r>
              <w:rPr>
                <w:color w:val="000000"/>
              </w:rPr>
              <w:t>*****</w:t>
            </w:r>
            <w:r w:rsidR="00AF4CD5" w:rsidRPr="000B3A29">
              <w:rPr>
                <w:bCs/>
                <w:color w:val="000000"/>
                <w:u w:val="single"/>
                <w:lang w:eastAsia="lt-LT"/>
              </w:rPr>
              <w:t xml:space="preserve"> Eur./QALY</w:t>
            </w:r>
          </w:p>
        </w:tc>
      </w:tr>
      <w:tr w:rsidR="00AF4CD5" w:rsidRPr="000B3A29" w14:paraId="2C4C68BA" w14:textId="77777777" w:rsidTr="00AF4CD5">
        <w:trPr>
          <w:trHeight w:val="267"/>
          <w:jc w:val="center"/>
        </w:trPr>
        <w:tc>
          <w:tcPr>
            <w:tcW w:w="6200" w:type="dxa"/>
            <w:tcBorders>
              <w:left w:val="single" w:sz="4" w:space="0" w:color="auto"/>
              <w:bottom w:val="single" w:sz="4" w:space="0" w:color="auto"/>
              <w:right w:val="single" w:sz="4" w:space="0" w:color="auto"/>
            </w:tcBorders>
          </w:tcPr>
          <w:p w14:paraId="21BEDABF" w14:textId="3471AFB3" w:rsidR="00AF4CD5" w:rsidRPr="000B3A29" w:rsidRDefault="00AF4CD5" w:rsidP="00B40E8C">
            <w:pPr>
              <w:tabs>
                <w:tab w:val="left" w:pos="567"/>
              </w:tabs>
              <w:spacing w:line="276" w:lineRule="auto"/>
              <w:jc w:val="right"/>
              <w:rPr>
                <w:lang w:eastAsia="lt-LT"/>
              </w:rPr>
            </w:pPr>
            <w:r w:rsidRPr="000B3A29">
              <w:rPr>
                <w:lang w:eastAsia="lt-LT"/>
              </w:rPr>
              <w:t>Referencinė kaštų naudingumo vertė</w:t>
            </w:r>
          </w:p>
        </w:tc>
        <w:tc>
          <w:tcPr>
            <w:tcW w:w="3239" w:type="dxa"/>
            <w:tcBorders>
              <w:left w:val="single" w:sz="4" w:space="0" w:color="auto"/>
              <w:bottom w:val="single" w:sz="4" w:space="0" w:color="auto"/>
              <w:right w:val="single" w:sz="4" w:space="0" w:color="auto"/>
            </w:tcBorders>
          </w:tcPr>
          <w:p w14:paraId="31DAA72E" w14:textId="25524D69" w:rsidR="00AF4CD5" w:rsidRPr="000B3A29" w:rsidRDefault="004B21B3" w:rsidP="00B40E8C">
            <w:pPr>
              <w:tabs>
                <w:tab w:val="left" w:pos="567"/>
              </w:tabs>
              <w:spacing w:line="276" w:lineRule="auto"/>
              <w:jc w:val="both"/>
              <w:rPr>
                <w:lang w:eastAsia="lt-LT"/>
              </w:rPr>
            </w:pPr>
            <w:r>
              <w:rPr>
                <w:color w:val="000000"/>
              </w:rPr>
              <w:t>*****</w:t>
            </w:r>
            <w:r w:rsidR="00AF4CD5" w:rsidRPr="000B3A29">
              <w:rPr>
                <w:bCs/>
                <w:color w:val="000000"/>
                <w:lang w:eastAsia="lt-LT"/>
              </w:rPr>
              <w:t xml:space="preserve"> Eur.</w:t>
            </w:r>
          </w:p>
        </w:tc>
      </w:tr>
    </w:tbl>
    <w:p w14:paraId="5FC8C737" w14:textId="4136B7F4" w:rsidR="0035172D" w:rsidRPr="000B3A29" w:rsidRDefault="00E5102E" w:rsidP="00B40E8C">
      <w:pPr>
        <w:tabs>
          <w:tab w:val="left" w:pos="567"/>
        </w:tabs>
        <w:spacing w:line="276" w:lineRule="auto"/>
        <w:jc w:val="both"/>
        <w:rPr>
          <w:sz w:val="20"/>
          <w:lang w:eastAsia="lt-LT"/>
        </w:rPr>
      </w:pPr>
      <w:r w:rsidRPr="000B3A29">
        <w:rPr>
          <w:sz w:val="20"/>
          <w:lang w:eastAsia="lt-LT"/>
        </w:rPr>
        <w:t xml:space="preserve">ICER </w:t>
      </w:r>
      <w:r w:rsidR="00453862" w:rsidRPr="000B3A29">
        <w:rPr>
          <w:sz w:val="20"/>
          <w:lang w:eastAsia="lt-LT"/>
        </w:rPr>
        <w:t>– (angl. incremental cost-effectiveness ratio) inkrementinis kaštų naudingumo koeficientas</w:t>
      </w:r>
      <w:r w:rsidRPr="000B3A29">
        <w:rPr>
          <w:sz w:val="20"/>
          <w:lang w:eastAsia="lt-LT"/>
        </w:rPr>
        <w:t>; LY –</w:t>
      </w:r>
      <w:r w:rsidR="00453862" w:rsidRPr="000B3A29">
        <w:rPr>
          <w:sz w:val="20"/>
          <w:lang w:eastAsia="lt-LT"/>
        </w:rPr>
        <w:t xml:space="preserve"> (angl. life years) gyvenimo metai</w:t>
      </w:r>
      <w:r w:rsidRPr="000B3A29">
        <w:rPr>
          <w:sz w:val="20"/>
          <w:lang w:eastAsia="lt-LT"/>
        </w:rPr>
        <w:t xml:space="preserve">; QALY- </w:t>
      </w:r>
      <w:r w:rsidR="00453862" w:rsidRPr="000B3A29">
        <w:rPr>
          <w:sz w:val="20"/>
          <w:lang w:eastAsia="lt-LT"/>
        </w:rPr>
        <w:t>(angl. quality adjusted life years) kokybiški gyvenimo metai.</w:t>
      </w:r>
    </w:p>
    <w:p w14:paraId="33875138" w14:textId="5EFA4651" w:rsidR="0035172D" w:rsidRPr="000B3A29" w:rsidRDefault="0035172D" w:rsidP="00B40E8C">
      <w:pPr>
        <w:tabs>
          <w:tab w:val="left" w:pos="426"/>
        </w:tabs>
        <w:spacing w:line="276" w:lineRule="auto"/>
        <w:rPr>
          <w:b/>
          <w:bCs/>
          <w:caps/>
        </w:rPr>
      </w:pPr>
    </w:p>
    <w:p w14:paraId="5D1857BA" w14:textId="06A0DB85" w:rsidR="00AF4CD5" w:rsidRPr="000B3A29" w:rsidRDefault="00AF4CD5" w:rsidP="00B40E8C">
      <w:pPr>
        <w:spacing w:line="276" w:lineRule="auto"/>
        <w:ind w:firstLine="360"/>
        <w:jc w:val="both"/>
        <w:rPr>
          <w:lang w:eastAsia="lt-LT"/>
        </w:rPr>
      </w:pPr>
      <w:r w:rsidRPr="000B3A29">
        <w:rPr>
          <w:rFonts w:eastAsia="Arial"/>
        </w:rPr>
        <w:t>Įprastinėje atvejo analizėje apskaičiuotais rezultatais, n</w:t>
      </w:r>
      <w:r w:rsidRPr="000B3A29">
        <w:rPr>
          <w:lang w:eastAsia="lt-LT"/>
        </w:rPr>
        <w:t>eoadjuvantinio pembrolizumabo / adjuvantinio pembrolizumabo + SOC</w:t>
      </w:r>
      <w:r w:rsidRPr="000B3A29">
        <w:rPr>
          <w:rFonts w:eastAsia="Arial"/>
        </w:rPr>
        <w:t xml:space="preserve"> lyginant su įprastiniu gydymu (SOC: radioterapija + cisplatina) sveikatai sukuriama papildoma nauda (inkrementiniai QALYS) – </w:t>
      </w:r>
      <w:r w:rsidR="006F3B0A">
        <w:rPr>
          <w:rFonts w:eastAsia="Arial"/>
        </w:rPr>
        <w:t>***</w:t>
      </w:r>
      <w:r w:rsidRPr="000B3A29">
        <w:rPr>
          <w:rFonts w:eastAsia="Arial"/>
        </w:rPr>
        <w:t xml:space="preserve">, </w:t>
      </w:r>
      <w:r w:rsidRPr="000B3A29">
        <w:t xml:space="preserve">o gydymo pembrolizumabu kaštai yra </w:t>
      </w:r>
      <w:r w:rsidR="00C77960">
        <w:rPr>
          <w:lang w:eastAsia="lt-LT"/>
        </w:rPr>
        <w:t>*****</w:t>
      </w:r>
      <w:r w:rsidRPr="000B3A29">
        <w:rPr>
          <w:lang w:eastAsia="lt-LT"/>
        </w:rPr>
        <w:t xml:space="preserve"> Eur. </w:t>
      </w:r>
      <w:r w:rsidRPr="000B3A29">
        <w:t>didesni nei standartinio šiuo metu Lietuvoje taikomo gydymo.</w:t>
      </w:r>
      <w:r w:rsidRPr="000B3A29">
        <w:rPr>
          <w:lang w:eastAsia="lt-LT"/>
        </w:rPr>
        <w:t xml:space="preserve"> Apskaičiuotas </w:t>
      </w:r>
      <w:r w:rsidRPr="000B3A29">
        <w:rPr>
          <w:lang w:eastAsia="lt-LT"/>
        </w:rPr>
        <w:lastRenderedPageBreak/>
        <w:t xml:space="preserve">ICER – </w:t>
      </w:r>
      <w:r w:rsidR="00C77960">
        <w:rPr>
          <w:lang w:eastAsia="lt-LT"/>
        </w:rPr>
        <w:t xml:space="preserve">***** </w:t>
      </w:r>
      <w:r w:rsidRPr="000B3A29">
        <w:t>Eur./QALY</w:t>
      </w:r>
      <w:r w:rsidRPr="000B3A29">
        <w:rPr>
          <w:lang w:eastAsia="lt-LT"/>
        </w:rPr>
        <w:t xml:space="preserve"> neviršija vidutinei ligos naštai taikomos referencinės kaštų naudingumo vertės.</w:t>
      </w:r>
    </w:p>
    <w:p w14:paraId="42688D5B" w14:textId="77777777" w:rsidR="00AF4CD5" w:rsidRPr="000B3A29" w:rsidRDefault="00AF4CD5" w:rsidP="00B40E8C">
      <w:pPr>
        <w:tabs>
          <w:tab w:val="left" w:pos="426"/>
        </w:tabs>
        <w:spacing w:line="276" w:lineRule="auto"/>
        <w:rPr>
          <w:b/>
          <w:bCs/>
          <w:caps/>
        </w:rPr>
      </w:pPr>
    </w:p>
    <w:p w14:paraId="4FC424F9" w14:textId="4E767245" w:rsidR="00C62B36" w:rsidRPr="000B3A29" w:rsidRDefault="00C62B36" w:rsidP="00B40E8C">
      <w:pPr>
        <w:pStyle w:val="Sraopastraipa"/>
        <w:numPr>
          <w:ilvl w:val="0"/>
          <w:numId w:val="12"/>
        </w:numPr>
        <w:tabs>
          <w:tab w:val="left" w:pos="567"/>
        </w:tabs>
        <w:spacing w:line="276" w:lineRule="auto"/>
        <w:ind w:hanging="720"/>
        <w:rPr>
          <w:b/>
          <w:bCs/>
          <w:caps/>
        </w:rPr>
      </w:pPr>
      <w:r w:rsidRPr="000B3A29">
        <w:rPr>
          <w:b/>
          <w:bCs/>
          <w:caps/>
        </w:rPr>
        <w:t xml:space="preserve">Pacientų organizacijų pateikti duomenys </w:t>
      </w:r>
    </w:p>
    <w:p w14:paraId="3F881B7C" w14:textId="77777777" w:rsidR="005E1581" w:rsidRPr="000B3A29" w:rsidRDefault="005E1581" w:rsidP="00B40E8C">
      <w:pPr>
        <w:spacing w:after="120" w:line="276" w:lineRule="auto"/>
        <w:jc w:val="both"/>
      </w:pPr>
    </w:p>
    <w:p w14:paraId="62992180" w14:textId="3812AD1E" w:rsidR="00937907" w:rsidRPr="000B3A29" w:rsidRDefault="00937907" w:rsidP="00B40E8C">
      <w:pPr>
        <w:spacing w:after="120" w:line="276" w:lineRule="auto"/>
        <w:jc w:val="both"/>
      </w:pPr>
      <w:r w:rsidRPr="000B3A29">
        <w:t xml:space="preserve">Pacientų organizacijos pozicija </w:t>
      </w:r>
      <w:r w:rsidR="00880A44" w:rsidRPr="000B3A29">
        <w:t>ne</w:t>
      </w:r>
      <w:r w:rsidRPr="000B3A29">
        <w:t>pateikta.</w:t>
      </w:r>
    </w:p>
    <w:p w14:paraId="3D3277FA" w14:textId="09414FFF" w:rsidR="00C62B36" w:rsidRPr="000B3A29" w:rsidRDefault="00D67BAF" w:rsidP="00B40E8C">
      <w:pPr>
        <w:pStyle w:val="Sraopastraipa"/>
        <w:numPr>
          <w:ilvl w:val="0"/>
          <w:numId w:val="12"/>
        </w:numPr>
        <w:tabs>
          <w:tab w:val="left" w:pos="567"/>
        </w:tabs>
        <w:spacing w:line="276" w:lineRule="auto"/>
        <w:ind w:hanging="720"/>
        <w:rPr>
          <w:b/>
          <w:bCs/>
          <w:caps/>
        </w:rPr>
      </w:pPr>
      <w:r w:rsidRPr="000B3A29">
        <w:rPr>
          <w:b/>
          <w:bCs/>
          <w:caps/>
        </w:rPr>
        <w:t xml:space="preserve">SVEIKATOS PRIEŽIŪROS SPECIALISTŲ </w:t>
      </w:r>
      <w:r w:rsidR="00C62B36" w:rsidRPr="000B3A29">
        <w:rPr>
          <w:b/>
          <w:bCs/>
          <w:caps/>
        </w:rPr>
        <w:t xml:space="preserve"> organizacijų pateikti duomenys</w:t>
      </w:r>
    </w:p>
    <w:p w14:paraId="044D5084" w14:textId="77777777" w:rsidR="00C9728E" w:rsidRPr="000B3A29" w:rsidRDefault="00C9728E" w:rsidP="00B40E8C">
      <w:pPr>
        <w:tabs>
          <w:tab w:val="left" w:pos="567"/>
        </w:tabs>
        <w:spacing w:line="276" w:lineRule="auto"/>
        <w:rPr>
          <w:b/>
          <w:bCs/>
          <w:caps/>
        </w:rPr>
      </w:pPr>
    </w:p>
    <w:p w14:paraId="5D8CC48C" w14:textId="02E1BF6D" w:rsidR="00662983" w:rsidRPr="000B3A29" w:rsidRDefault="00D67BAF" w:rsidP="00B40E8C">
      <w:pPr>
        <w:spacing w:after="120" w:line="276" w:lineRule="auto"/>
        <w:jc w:val="both"/>
      </w:pPr>
      <w:r w:rsidRPr="000B3A29">
        <w:t>S</w:t>
      </w:r>
      <w:r w:rsidRPr="000B3A29">
        <w:rPr>
          <w:bCs/>
        </w:rPr>
        <w:t>veikatos priežiūros specialistų</w:t>
      </w:r>
      <w:r w:rsidR="00937907" w:rsidRPr="000B3A29">
        <w:t xml:space="preserve"> organizacijos pozicija </w:t>
      </w:r>
      <w:r w:rsidR="00880A44" w:rsidRPr="000B3A29">
        <w:t>ne</w:t>
      </w:r>
      <w:r w:rsidR="00937907" w:rsidRPr="000B3A29">
        <w:t>pateikta.</w:t>
      </w:r>
    </w:p>
    <w:p w14:paraId="78F23ECB" w14:textId="4E503D00" w:rsidR="002F0E4F" w:rsidRPr="000B3A29" w:rsidRDefault="002F0E4F" w:rsidP="00B40E8C">
      <w:pPr>
        <w:pStyle w:val="Sraopastraipa"/>
        <w:numPr>
          <w:ilvl w:val="0"/>
          <w:numId w:val="12"/>
        </w:numPr>
        <w:tabs>
          <w:tab w:val="left" w:pos="567"/>
        </w:tabs>
        <w:spacing w:line="276" w:lineRule="auto"/>
        <w:ind w:hanging="720"/>
        <w:rPr>
          <w:b/>
          <w:bCs/>
          <w:caps/>
        </w:rPr>
      </w:pPr>
      <w:r w:rsidRPr="000B3A29">
        <w:rPr>
          <w:b/>
          <w:bCs/>
          <w:caps/>
        </w:rPr>
        <w:t>Išvad</w:t>
      </w:r>
      <w:r w:rsidR="00B811A4" w:rsidRPr="000B3A29">
        <w:rPr>
          <w:b/>
          <w:bCs/>
          <w:caps/>
        </w:rPr>
        <w:t>OS</w:t>
      </w:r>
      <w:r w:rsidRPr="000B3A29">
        <w:rPr>
          <w:b/>
          <w:bCs/>
          <w:caps/>
        </w:rPr>
        <w:t xml:space="preserve"> </w:t>
      </w:r>
    </w:p>
    <w:p w14:paraId="77410D2D" w14:textId="77777777" w:rsidR="00B903AE" w:rsidRPr="000B3A29" w:rsidRDefault="00B903AE" w:rsidP="00B40E8C">
      <w:pPr>
        <w:pStyle w:val="Sraopastraipa"/>
        <w:tabs>
          <w:tab w:val="left" w:pos="567"/>
        </w:tabs>
        <w:spacing w:line="276" w:lineRule="auto"/>
        <w:rPr>
          <w:b/>
          <w:bCs/>
          <w:caps/>
        </w:rPr>
      </w:pPr>
    </w:p>
    <w:tbl>
      <w:tblPr>
        <w:tblStyle w:val="Lentelstinklelis"/>
        <w:tblW w:w="0" w:type="auto"/>
        <w:tblInd w:w="-5" w:type="dxa"/>
        <w:tblLook w:val="04A0" w:firstRow="1" w:lastRow="0" w:firstColumn="1" w:lastColumn="0" w:noHBand="0" w:noVBand="1"/>
      </w:tblPr>
      <w:tblGrid>
        <w:gridCol w:w="4820"/>
        <w:gridCol w:w="4814"/>
      </w:tblGrid>
      <w:tr w:rsidR="00334F18" w:rsidRPr="000B3A29" w14:paraId="4D5EFB83" w14:textId="77777777" w:rsidTr="007111C4">
        <w:trPr>
          <w:trHeight w:val="510"/>
        </w:trPr>
        <w:tc>
          <w:tcPr>
            <w:tcW w:w="9634" w:type="dxa"/>
            <w:gridSpan w:val="2"/>
            <w:vAlign w:val="center"/>
          </w:tcPr>
          <w:p w14:paraId="294EC16B"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Style2"/>
                <w:rFonts w:eastAsia="MS Gothic"/>
                <w:b/>
                <w:bCs/>
                <w:sz w:val="23"/>
                <w:szCs w:val="23"/>
              </w:rPr>
            </w:pPr>
            <w:bookmarkStart w:id="1" w:name="_Hlk185430554"/>
            <w:r w:rsidRPr="000B3A29">
              <w:rPr>
                <w:rStyle w:val="Style2"/>
                <w:rFonts w:eastAsia="MS Gothic"/>
                <w:b/>
                <w:bCs/>
                <w:sz w:val="23"/>
                <w:szCs w:val="23"/>
              </w:rPr>
              <w:t>Palyginamasis veiksmingumas</w:t>
            </w:r>
          </w:p>
        </w:tc>
      </w:tr>
      <w:tr w:rsidR="00334F18" w:rsidRPr="000B3A29" w14:paraId="30B67515" w14:textId="77777777" w:rsidTr="007111C4">
        <w:tc>
          <w:tcPr>
            <w:tcW w:w="4820" w:type="dxa"/>
          </w:tcPr>
          <w:p w14:paraId="4FE3C208" w14:textId="3CF91FB3"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397324644"/>
                <w15:color w:val="FFCC00"/>
                <w14:checkbox>
                  <w14:checked w14:val="1"/>
                  <w14:checkedState w14:val="2612" w14:font="MS Gothic"/>
                  <w14:uncheckedState w14:val="2610" w14:font="MS Gothic"/>
                </w14:checkbox>
              </w:sdtPr>
              <w:sdtContent>
                <w:r w:rsidR="00B903AE" w:rsidRPr="000B3A29">
                  <w:rPr>
                    <w:rStyle w:val="Style2"/>
                    <w:rFonts w:ascii="Segoe UI Symbol" w:eastAsia="MS Gothic" w:hAnsi="Segoe UI Symbol" w:cs="Segoe UI Symbol"/>
                    <w:sz w:val="23"/>
                    <w:szCs w:val="23"/>
                  </w:rPr>
                  <w:t>☒</w:t>
                </w:r>
              </w:sdtContent>
            </w:sdt>
            <w:r w:rsidR="00B811A4" w:rsidRPr="000B3A29">
              <w:rPr>
                <w:rStyle w:val="Style2"/>
                <w:sz w:val="23"/>
                <w:szCs w:val="23"/>
              </w:rPr>
              <w:t xml:space="preserve"> 29</w:t>
            </w:r>
            <w:r w:rsidR="00B811A4" w:rsidRPr="000B3A29">
              <w:rPr>
                <w:sz w:val="23"/>
                <w:szCs w:val="23"/>
              </w:rPr>
              <w:t>.1.1 yra didesnis, lyginant su įprasta klinikine praktika</w:t>
            </w:r>
          </w:p>
          <w:p w14:paraId="6F9786E4"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231EDECD" w14:textId="77777777"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sz w:val="23"/>
                <w:szCs w:val="23"/>
              </w:rPr>
            </w:pPr>
            <w:sdt>
              <w:sdtPr>
                <w:rPr>
                  <w:rStyle w:val="Style2"/>
                  <w:sz w:val="23"/>
                  <w:szCs w:val="23"/>
                </w:rPr>
                <w:id w:val="418297090"/>
                <w15:color w:val="FFCC00"/>
                <w14:checkbox>
                  <w14:checked w14:val="0"/>
                  <w14:checkedState w14:val="2612" w14:font="MS Gothic"/>
                  <w14:uncheckedState w14:val="2610" w14:font="MS Gothic"/>
                </w14:checkbox>
              </w:sdtPr>
              <w:sdtContent>
                <w:r w:rsidR="00B811A4" w:rsidRPr="000B3A29">
                  <w:rPr>
                    <w:rStyle w:val="Style2"/>
                    <w:rFonts w:ascii="Segoe UI Symbol" w:eastAsia="MS Gothic" w:hAnsi="Segoe UI Symbol" w:cs="Segoe UI Symbol"/>
                    <w:sz w:val="23"/>
                    <w:szCs w:val="23"/>
                  </w:rPr>
                  <w:t>☐</w:t>
                </w:r>
              </w:sdtContent>
            </w:sdt>
            <w:r w:rsidR="00B811A4" w:rsidRPr="000B3A29">
              <w:rPr>
                <w:sz w:val="23"/>
                <w:szCs w:val="23"/>
              </w:rPr>
              <w:t xml:space="preserve"> </w:t>
            </w:r>
            <w:r w:rsidR="00B811A4" w:rsidRPr="000B3A29">
              <w:rPr>
                <w:rStyle w:val="Style2"/>
                <w:sz w:val="23"/>
                <w:szCs w:val="23"/>
              </w:rPr>
              <w:t>29</w:t>
            </w:r>
            <w:r w:rsidR="00B811A4" w:rsidRPr="000B3A29">
              <w:rPr>
                <w:sz w:val="23"/>
                <w:szCs w:val="23"/>
              </w:rPr>
              <w:t>.1.2 iš esmės nesiskiria, lyginant su įprasta klinikine praktika</w:t>
            </w:r>
          </w:p>
        </w:tc>
        <w:tc>
          <w:tcPr>
            <w:tcW w:w="4814" w:type="dxa"/>
          </w:tcPr>
          <w:p w14:paraId="72562F9E" w14:textId="77777777"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724755596"/>
                <w15:color w:val="FFCC00"/>
                <w14:checkbox>
                  <w14:checked w14:val="0"/>
                  <w14:checkedState w14:val="2612" w14:font="MS Gothic"/>
                  <w14:uncheckedState w14:val="2610" w14:font="MS Gothic"/>
                </w14:checkbox>
              </w:sdtPr>
              <w:sdtContent>
                <w:r w:rsidR="00B811A4" w:rsidRPr="000B3A29">
                  <w:rPr>
                    <w:rStyle w:val="Style2"/>
                    <w:rFonts w:ascii="Segoe UI Symbol" w:eastAsia="MS Gothic" w:hAnsi="Segoe UI Symbol" w:cs="Segoe UI Symbol"/>
                    <w:sz w:val="23"/>
                    <w:szCs w:val="23"/>
                  </w:rPr>
                  <w:t>☐</w:t>
                </w:r>
              </w:sdtContent>
            </w:sdt>
            <w:r w:rsidR="00B811A4" w:rsidRPr="000B3A29">
              <w:rPr>
                <w:sz w:val="23"/>
                <w:szCs w:val="23"/>
              </w:rPr>
              <w:t xml:space="preserve"> </w:t>
            </w:r>
            <w:r w:rsidR="00B811A4" w:rsidRPr="000B3A29">
              <w:rPr>
                <w:rStyle w:val="Style2"/>
                <w:sz w:val="23"/>
                <w:szCs w:val="23"/>
              </w:rPr>
              <w:t>29</w:t>
            </w:r>
            <w:r w:rsidR="00B811A4" w:rsidRPr="000B3A29">
              <w:rPr>
                <w:sz w:val="23"/>
                <w:szCs w:val="23"/>
              </w:rPr>
              <w:t xml:space="preserve">.1.3 yra neįrodytas kaip didesnis  ar iš esmės nesiskiriantis, lyginant su įprasta klinikine praktika  </w:t>
            </w:r>
          </w:p>
          <w:p w14:paraId="6F6DB5BC"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5EE1D885" w14:textId="77777777"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862168479"/>
                <w15:color w:val="FFCC00"/>
                <w14:checkbox>
                  <w14:checked w14:val="0"/>
                  <w14:checkedState w14:val="2612" w14:font="MS Gothic"/>
                  <w14:uncheckedState w14:val="2610" w14:font="MS Gothic"/>
                </w14:checkbox>
              </w:sdtPr>
              <w:sdtContent>
                <w:r w:rsidR="00B811A4" w:rsidRPr="000B3A29">
                  <w:rPr>
                    <w:rStyle w:val="Style2"/>
                    <w:rFonts w:ascii="Segoe UI Symbol" w:eastAsia="MS Gothic" w:hAnsi="Segoe UI Symbol" w:cs="Segoe UI Symbol"/>
                    <w:sz w:val="23"/>
                    <w:szCs w:val="23"/>
                  </w:rPr>
                  <w:t>☐</w:t>
                </w:r>
              </w:sdtContent>
            </w:sdt>
            <w:r w:rsidR="00B811A4" w:rsidRPr="000B3A29">
              <w:rPr>
                <w:sz w:val="23"/>
                <w:szCs w:val="23"/>
              </w:rPr>
              <w:t xml:space="preserve"> </w:t>
            </w:r>
            <w:r w:rsidR="00B811A4" w:rsidRPr="000B3A29">
              <w:rPr>
                <w:rStyle w:val="Style2"/>
                <w:sz w:val="23"/>
                <w:szCs w:val="23"/>
              </w:rPr>
              <w:t>29</w:t>
            </w:r>
            <w:r w:rsidR="00B811A4" w:rsidRPr="000B3A29">
              <w:rPr>
                <w:sz w:val="23"/>
                <w:szCs w:val="23"/>
              </w:rPr>
              <w:t>.1.4 yra mažesnis, lyginant su įprasta klinikine praktika</w:t>
            </w:r>
          </w:p>
          <w:p w14:paraId="193C3D76"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370E94DC" w14:textId="4EC80DB9"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857960180"/>
                <w15:color w:val="FFCC00"/>
                <w14:checkbox>
                  <w14:checked w14:val="0"/>
                  <w14:checkedState w14:val="2612" w14:font="MS Gothic"/>
                  <w14:uncheckedState w14:val="2610" w14:font="MS Gothic"/>
                </w14:checkbox>
              </w:sdtPr>
              <w:sdtContent>
                <w:r w:rsidR="00B811A4" w:rsidRPr="000B3A29">
                  <w:rPr>
                    <w:rStyle w:val="Style2"/>
                    <w:rFonts w:ascii="Segoe UI Symbol" w:eastAsia="MS Gothic" w:hAnsi="Segoe UI Symbol" w:cs="Segoe UI Symbol"/>
                    <w:sz w:val="23"/>
                    <w:szCs w:val="23"/>
                  </w:rPr>
                  <w:t>☐</w:t>
                </w:r>
              </w:sdtContent>
            </w:sdt>
            <w:r w:rsidR="00B811A4" w:rsidRPr="000B3A29">
              <w:rPr>
                <w:sz w:val="23"/>
                <w:szCs w:val="23"/>
              </w:rPr>
              <w:t xml:space="preserve"> </w:t>
            </w:r>
            <w:r w:rsidR="00B811A4" w:rsidRPr="000B3A29">
              <w:rPr>
                <w:rStyle w:val="Style2"/>
                <w:sz w:val="23"/>
                <w:szCs w:val="23"/>
              </w:rPr>
              <w:t>29</w:t>
            </w:r>
            <w:r w:rsidR="00B811A4" w:rsidRPr="000B3A29">
              <w:rPr>
                <w:sz w:val="23"/>
                <w:szCs w:val="23"/>
              </w:rPr>
              <w:t>.1.5 pateikti duomenys apie palyginamąjį veiksmingumą yra netinkami vertinti</w:t>
            </w:r>
          </w:p>
          <w:p w14:paraId="45719037"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r>
      <w:bookmarkEnd w:id="1"/>
      <w:tr w:rsidR="00334F18" w:rsidRPr="000B3A29" w14:paraId="0E0F5168" w14:textId="77777777" w:rsidTr="00743956">
        <w:trPr>
          <w:trHeight w:val="510"/>
        </w:trPr>
        <w:tc>
          <w:tcPr>
            <w:tcW w:w="9634" w:type="dxa"/>
            <w:gridSpan w:val="2"/>
            <w:vAlign w:val="center"/>
          </w:tcPr>
          <w:p w14:paraId="62B67E12"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Style2"/>
                <w:rFonts w:eastAsia="MS Gothic"/>
                <w:b/>
                <w:bCs/>
                <w:sz w:val="23"/>
                <w:szCs w:val="23"/>
              </w:rPr>
            </w:pPr>
            <w:r w:rsidRPr="000B3A29">
              <w:rPr>
                <w:rStyle w:val="Style2"/>
                <w:rFonts w:eastAsia="MS Gothic"/>
                <w:b/>
                <w:bCs/>
                <w:sz w:val="23"/>
                <w:szCs w:val="23"/>
              </w:rPr>
              <w:t>Kaštų naudingumas</w:t>
            </w:r>
          </w:p>
        </w:tc>
      </w:tr>
      <w:tr w:rsidR="00334F18" w:rsidRPr="000B3A29" w14:paraId="6A2F62B2" w14:textId="77777777" w:rsidTr="00743956">
        <w:tc>
          <w:tcPr>
            <w:tcW w:w="4820" w:type="dxa"/>
          </w:tcPr>
          <w:p w14:paraId="7CB2C697" w14:textId="0F4C0D2E"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301657889"/>
                <w15:color w:val="FFCC00"/>
                <w14:checkbox>
                  <w14:checked w14:val="1"/>
                  <w14:checkedState w14:val="2612" w14:font="MS Gothic"/>
                  <w14:uncheckedState w14:val="2610" w14:font="MS Gothic"/>
                </w14:checkbox>
              </w:sdtPr>
              <w:sdtContent>
                <w:r w:rsidR="002F73CC" w:rsidRPr="000B3A29">
                  <w:rPr>
                    <w:rStyle w:val="Style2"/>
                    <w:rFonts w:ascii="Segoe UI Symbol" w:eastAsia="MS Gothic" w:hAnsi="Segoe UI Symbol" w:cs="Segoe UI Symbol"/>
                    <w:sz w:val="23"/>
                    <w:szCs w:val="23"/>
                  </w:rPr>
                  <w:t>☒</w:t>
                </w:r>
              </w:sdtContent>
            </w:sdt>
            <w:r w:rsidR="00B811A4" w:rsidRPr="000B3A29">
              <w:rPr>
                <w:sz w:val="23"/>
                <w:szCs w:val="23"/>
              </w:rPr>
              <w:t xml:space="preserve"> 29.2.1 atitinka referencinę naudingumo vertę taikant arba netaikant</w:t>
            </w:r>
            <w:r w:rsidR="00437623" w:rsidRPr="000B3A29">
              <w:rPr>
                <w:b/>
                <w:bCs/>
                <w:sz w:val="23"/>
                <w:szCs w:val="23"/>
              </w:rPr>
              <w:t xml:space="preserve"> </w:t>
            </w:r>
            <w:r w:rsidR="00B811A4" w:rsidRPr="000B3A29">
              <w:rPr>
                <w:sz w:val="23"/>
                <w:szCs w:val="23"/>
              </w:rPr>
              <w:t>PGS</w:t>
            </w:r>
          </w:p>
          <w:p w14:paraId="71797774"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5BE88CDB" w14:textId="60C4FFA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c>
          <w:tcPr>
            <w:tcW w:w="4814" w:type="dxa"/>
          </w:tcPr>
          <w:p w14:paraId="0370A72C" w14:textId="77777777"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791860283"/>
                <w15:color w:val="FFCC00"/>
                <w14:checkbox>
                  <w14:checked w14:val="0"/>
                  <w14:checkedState w14:val="2612" w14:font="MS Gothic"/>
                  <w14:uncheckedState w14:val="2610" w14:font="MS Gothic"/>
                </w14:checkbox>
              </w:sdtPr>
              <w:sdtContent>
                <w:r w:rsidR="00B811A4" w:rsidRPr="000B3A29">
                  <w:rPr>
                    <w:rStyle w:val="Style2"/>
                    <w:rFonts w:ascii="Segoe UI Symbol" w:eastAsia="MS Gothic" w:hAnsi="Segoe UI Symbol" w:cs="Segoe UI Symbol"/>
                    <w:sz w:val="23"/>
                    <w:szCs w:val="23"/>
                  </w:rPr>
                  <w:t>☐</w:t>
                </w:r>
              </w:sdtContent>
            </w:sdt>
            <w:r w:rsidR="00B811A4" w:rsidRPr="000B3A29">
              <w:rPr>
                <w:sz w:val="23"/>
                <w:szCs w:val="23"/>
              </w:rPr>
              <w:t xml:space="preserve"> 29.2.3 neatitinka referencinės naudingumo vertės taikant arba netaikant PGS</w:t>
            </w:r>
          </w:p>
          <w:p w14:paraId="13C9EEE5"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289E6691"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5FD1976C" w14:textId="77777777" w:rsidR="00B811A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3"/>
                <w:szCs w:val="23"/>
              </w:rPr>
            </w:pPr>
            <w:sdt>
              <w:sdtPr>
                <w:rPr>
                  <w:rStyle w:val="Style2"/>
                  <w:sz w:val="23"/>
                  <w:szCs w:val="23"/>
                </w:rPr>
                <w:id w:val="-943849855"/>
                <w15:color w:val="FFCC00"/>
                <w14:checkbox>
                  <w14:checked w14:val="0"/>
                  <w14:checkedState w14:val="2612" w14:font="MS Gothic"/>
                  <w14:uncheckedState w14:val="2610" w14:font="MS Gothic"/>
                </w14:checkbox>
              </w:sdtPr>
              <w:sdtContent>
                <w:r w:rsidR="00B811A4" w:rsidRPr="000B3A29">
                  <w:rPr>
                    <w:rStyle w:val="Style2"/>
                    <w:rFonts w:ascii="Segoe UI Symbol" w:eastAsia="MS Gothic" w:hAnsi="Segoe UI Symbol" w:cs="Segoe UI Symbol"/>
                    <w:sz w:val="23"/>
                    <w:szCs w:val="23"/>
                  </w:rPr>
                  <w:t>☐</w:t>
                </w:r>
              </w:sdtContent>
            </w:sdt>
            <w:r w:rsidR="00B811A4" w:rsidRPr="000B3A29">
              <w:rPr>
                <w:sz w:val="23"/>
                <w:szCs w:val="23"/>
              </w:rPr>
              <w:t xml:space="preserve"> 29.2.5 pateikti duomenys apie kaštų naudingumą yra netinkami vertinti</w:t>
            </w:r>
          </w:p>
          <w:p w14:paraId="06AB06C5" w14:textId="77777777" w:rsidR="00B811A4" w:rsidRPr="000B3A29" w:rsidRDefault="00B811A4"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r>
      <w:tr w:rsidR="00334F18" w:rsidRPr="000B3A29" w14:paraId="632C9193" w14:textId="77777777" w:rsidTr="00027464">
        <w:tc>
          <w:tcPr>
            <w:tcW w:w="9634" w:type="dxa"/>
            <w:gridSpan w:val="2"/>
          </w:tcPr>
          <w:p w14:paraId="15C289C9" w14:textId="47C5A3CE" w:rsidR="007111C4" w:rsidRPr="000B3A29" w:rsidRDefault="00000000" w:rsidP="00B40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sz w:val="23"/>
                <w:szCs w:val="23"/>
              </w:rPr>
            </w:pPr>
            <w:sdt>
              <w:sdtPr>
                <w:rPr>
                  <w:rStyle w:val="Style2"/>
                  <w:sz w:val="23"/>
                  <w:szCs w:val="23"/>
                </w:rPr>
                <w:id w:val="1266579562"/>
                <w15:color w:val="FFCC00"/>
                <w14:checkbox>
                  <w14:checked w14:val="0"/>
                  <w14:checkedState w14:val="2612" w14:font="MS Gothic"/>
                  <w14:uncheckedState w14:val="2610" w14:font="MS Gothic"/>
                </w14:checkbox>
              </w:sdtPr>
              <w:sdtContent>
                <w:r w:rsidR="007111C4" w:rsidRPr="000B3A29">
                  <w:rPr>
                    <w:rStyle w:val="Style2"/>
                    <w:rFonts w:ascii="Segoe UI Symbol" w:eastAsia="MS Gothic" w:hAnsi="Segoe UI Symbol" w:cs="Segoe UI Symbol"/>
                    <w:sz w:val="23"/>
                    <w:szCs w:val="23"/>
                  </w:rPr>
                  <w:t>☐</w:t>
                </w:r>
              </w:sdtContent>
            </w:sdt>
            <w:r w:rsidR="007111C4" w:rsidRPr="000B3A29">
              <w:rPr>
                <w:sz w:val="23"/>
                <w:szCs w:val="23"/>
              </w:rPr>
              <w:t xml:space="preserve"> Vykdant Aprašo &lt;17</w:t>
            </w:r>
            <w:r w:rsidR="007111C4" w:rsidRPr="000B3A29">
              <w:rPr>
                <w:sz w:val="23"/>
                <w:szCs w:val="23"/>
                <w:vertAlign w:val="superscript"/>
              </w:rPr>
              <w:t>3</w:t>
            </w:r>
            <w:r w:rsidR="007111C4" w:rsidRPr="000B3A29">
              <w:rPr>
                <w:sz w:val="23"/>
                <w:szCs w:val="23"/>
              </w:rPr>
              <w:t>.1&gt;&lt;17</w:t>
            </w:r>
            <w:r w:rsidR="007111C4" w:rsidRPr="000B3A29">
              <w:rPr>
                <w:sz w:val="23"/>
                <w:szCs w:val="23"/>
                <w:vertAlign w:val="superscript"/>
              </w:rPr>
              <w:t>3</w:t>
            </w:r>
            <w:r w:rsidR="007111C4" w:rsidRPr="000B3A29">
              <w:rPr>
                <w:sz w:val="23"/>
                <w:szCs w:val="23"/>
              </w:rPr>
              <w:t>.2&gt;&lt;17</w:t>
            </w:r>
            <w:r w:rsidR="007111C4" w:rsidRPr="000B3A29">
              <w:rPr>
                <w:sz w:val="23"/>
                <w:szCs w:val="23"/>
                <w:vertAlign w:val="superscript"/>
              </w:rPr>
              <w:t>3</w:t>
            </w:r>
            <w:r w:rsidR="007111C4" w:rsidRPr="000B3A29">
              <w:rPr>
                <w:sz w:val="23"/>
                <w:szCs w:val="23"/>
              </w:rPr>
              <w:t>.3&gt; punktą vaistinio (-ų) preparato (-ų) ekonominis vertinimas neatliekamas, išvados dėl kaštų naudingumo neteikiamos</w:t>
            </w:r>
          </w:p>
        </w:tc>
      </w:tr>
    </w:tbl>
    <w:p w14:paraId="08D5B3B6" w14:textId="292D1124" w:rsidR="0061611B" w:rsidRPr="000B3A29" w:rsidRDefault="0061611B" w:rsidP="00B40E8C">
      <w:pPr>
        <w:spacing w:line="276" w:lineRule="auto"/>
        <w:rPr>
          <w:szCs w:val="22"/>
        </w:rPr>
      </w:pPr>
    </w:p>
    <w:p w14:paraId="3B2D1F25" w14:textId="3A80E19F" w:rsidR="000001B0" w:rsidRPr="000B3A29" w:rsidRDefault="000001B0" w:rsidP="00B40E8C">
      <w:pPr>
        <w:pStyle w:val="Sraopastraipa"/>
        <w:numPr>
          <w:ilvl w:val="0"/>
          <w:numId w:val="12"/>
        </w:numPr>
        <w:spacing w:line="276" w:lineRule="auto"/>
        <w:ind w:left="567" w:hanging="567"/>
      </w:pPr>
      <w:r w:rsidRPr="000B3A29">
        <w:rPr>
          <w:b/>
        </w:rPr>
        <w:t>REKOME</w:t>
      </w:r>
      <w:r w:rsidR="00D83182" w:rsidRPr="000B3A29">
        <w:rPr>
          <w:b/>
        </w:rPr>
        <w:t>N</w:t>
      </w:r>
      <w:r w:rsidRPr="000B3A29">
        <w:rPr>
          <w:b/>
        </w:rPr>
        <w:t>DACIJA</w:t>
      </w:r>
    </w:p>
    <w:p w14:paraId="35E33D78" w14:textId="59232BB3" w:rsidR="00B811A4" w:rsidRPr="000B3A29" w:rsidRDefault="00B811A4" w:rsidP="00B40E8C">
      <w:pPr>
        <w:pStyle w:val="Sraopastraipa"/>
        <w:spacing w:line="276" w:lineRule="auto"/>
        <w:ind w:left="567"/>
        <w:rPr>
          <w:b/>
          <w:highlight w:val="green"/>
        </w:rPr>
      </w:pPr>
    </w:p>
    <w:p w14:paraId="69103B3D" w14:textId="77777777" w:rsidR="002F73CC" w:rsidRPr="000B3A29" w:rsidRDefault="002F73CC" w:rsidP="00B40E8C">
      <w:pPr>
        <w:spacing w:line="276" w:lineRule="auto"/>
        <w:jc w:val="both"/>
      </w:pPr>
      <w:r w:rsidRPr="000B3A29">
        <w:t>Vadovaujantis Aprašo 30</w:t>
      </w:r>
      <w:r w:rsidRPr="000B3A29">
        <w:rPr>
          <w:vertAlign w:val="superscript"/>
        </w:rPr>
        <w:t>1</w:t>
      </w:r>
      <w:r w:rsidRPr="000B3A29">
        <w:t>.1. papunkčiu rekomenduojama kompensuoti vaistinį preparatą pagal paraiškoje nurodytą indikaciją (arba jos dalį) su skyrimo sąlygomis, netaikant PGS, kai vertinimo išvados atitinka Aprašo 29.1.1 ir 29.2.1 papunkčiuose numatytas sąlygas.</w:t>
      </w:r>
    </w:p>
    <w:p w14:paraId="3D60BB06" w14:textId="77777777" w:rsidR="00B811A4" w:rsidRPr="000B3A29" w:rsidRDefault="00B811A4" w:rsidP="00B40E8C">
      <w:pPr>
        <w:widowControl w:val="0"/>
        <w:tabs>
          <w:tab w:val="left" w:pos="1418"/>
        </w:tabs>
        <w:suppressAutoHyphens/>
        <w:spacing w:line="276" w:lineRule="auto"/>
        <w:textAlignment w:val="center"/>
        <w:rPr>
          <w:lang w:eastAsia="lt-LT"/>
        </w:rPr>
      </w:pPr>
    </w:p>
    <w:p w14:paraId="42F3A222" w14:textId="77777777" w:rsidR="00B811A4" w:rsidRPr="000B3A29" w:rsidRDefault="00B811A4" w:rsidP="00B40E8C">
      <w:pPr>
        <w:tabs>
          <w:tab w:val="left" w:pos="426"/>
        </w:tabs>
        <w:spacing w:line="276" w:lineRule="auto"/>
        <w:jc w:val="both"/>
        <w:rPr>
          <w:b/>
          <w:lang w:eastAsia="lt-LT"/>
        </w:rPr>
      </w:pPr>
      <w:r w:rsidRPr="000B3A29">
        <w:rPr>
          <w:b/>
          <w:lang w:eastAsia="lt-LT"/>
        </w:rPr>
        <w:t xml:space="preserve">4.3 Siūloma (-os) kompensuoti terapinės indikacijos ir skyrimo sąlygos </w:t>
      </w:r>
    </w:p>
    <w:p w14:paraId="179FBABC" w14:textId="77777777" w:rsidR="00B811A4" w:rsidRPr="000B3A29" w:rsidRDefault="00B811A4" w:rsidP="00B40E8C">
      <w:pPr>
        <w:tabs>
          <w:tab w:val="left" w:pos="426"/>
        </w:tabs>
        <w:spacing w:line="276" w:lineRule="auto"/>
        <w:jc w:val="both"/>
        <w:rPr>
          <w:b/>
          <w:lang w:eastAsia="lt-LT"/>
        </w:rPr>
      </w:pPr>
    </w:p>
    <w:p w14:paraId="342FB4BF" w14:textId="77777777" w:rsidR="008A7FEE" w:rsidRPr="000B3A29" w:rsidRDefault="008A7FEE" w:rsidP="00B40E8C">
      <w:pPr>
        <w:pStyle w:val="Betarp"/>
        <w:spacing w:line="276" w:lineRule="auto"/>
        <w:jc w:val="both"/>
        <w:rPr>
          <w:rFonts w:ascii="Times New Roman" w:hAnsi="Times New Roman"/>
          <w:b/>
          <w:sz w:val="24"/>
          <w:szCs w:val="24"/>
          <w:lang w:eastAsia="lt-LT"/>
        </w:rPr>
      </w:pPr>
      <w:r w:rsidRPr="000B3A29">
        <w:rPr>
          <w:rFonts w:ascii="Times New Roman" w:hAnsi="Times New Roman"/>
          <w:b/>
          <w:sz w:val="24"/>
          <w:szCs w:val="24"/>
          <w:lang w:eastAsia="lt-LT"/>
        </w:rPr>
        <w:t>Terapinės indikacijos</w:t>
      </w:r>
    </w:p>
    <w:p w14:paraId="2535D0B7" w14:textId="77777777" w:rsidR="008A7FEE" w:rsidRPr="000B3A29" w:rsidRDefault="008A7FEE" w:rsidP="00B40E8C">
      <w:pPr>
        <w:spacing w:line="276" w:lineRule="auto"/>
        <w:jc w:val="both"/>
      </w:pPr>
      <w:r w:rsidRPr="000B3A29">
        <w:lastRenderedPageBreak/>
        <w:t>KEYTRUDA monoterapija skirta rezekuotinos vietiškai išplitusios galvos ir kaklo plokščialąstelinės karcinomos neoadjuvantiniam gydymui, vėliau tęsiant adjuvantiniam gydymui derinant su radioterapija ir kartu su cisplatina arba be jos, bei tuomet vėl skiriant monoterapiją suaugusiesiems, kurių navikai ekspresuoja PD-L1 ir CPS rodmuo yra ≥ 1.</w:t>
      </w:r>
    </w:p>
    <w:p w14:paraId="1C94C158" w14:textId="77777777" w:rsidR="008A7FEE" w:rsidRPr="000B3A29" w:rsidRDefault="008A7FEE" w:rsidP="00B40E8C">
      <w:pPr>
        <w:spacing w:line="276" w:lineRule="auto"/>
        <w:jc w:val="both"/>
      </w:pPr>
      <w:r w:rsidRPr="000B3A29">
        <w:t xml:space="preserve">TLK-10 AM kodai: C00–C10, C12–C14, C30, C32. </w:t>
      </w:r>
    </w:p>
    <w:p w14:paraId="11C9FDAD" w14:textId="77777777" w:rsidR="008A7FEE" w:rsidRPr="000B3A29" w:rsidRDefault="008A7FEE" w:rsidP="00B40E8C">
      <w:pPr>
        <w:pStyle w:val="Betarp"/>
        <w:spacing w:line="276" w:lineRule="auto"/>
        <w:jc w:val="both"/>
        <w:rPr>
          <w:rFonts w:ascii="Times New Roman" w:hAnsi="Times New Roman"/>
          <w:sz w:val="24"/>
          <w:szCs w:val="24"/>
          <w:highlight w:val="yellow"/>
        </w:rPr>
      </w:pPr>
    </w:p>
    <w:p w14:paraId="0D158BE0" w14:textId="77777777" w:rsidR="008A7FEE" w:rsidRPr="000B3A29" w:rsidRDefault="008A7FEE" w:rsidP="00B40E8C">
      <w:pPr>
        <w:pStyle w:val="Betarp"/>
        <w:spacing w:line="276" w:lineRule="auto"/>
        <w:jc w:val="both"/>
        <w:rPr>
          <w:rFonts w:ascii="Times New Roman" w:hAnsi="Times New Roman"/>
          <w:b/>
          <w:sz w:val="24"/>
          <w:szCs w:val="24"/>
        </w:rPr>
      </w:pPr>
      <w:r w:rsidRPr="000B3A29">
        <w:rPr>
          <w:rFonts w:ascii="Times New Roman" w:hAnsi="Times New Roman"/>
          <w:b/>
          <w:sz w:val="24"/>
          <w:szCs w:val="24"/>
        </w:rPr>
        <w:t>Skyrimo sąlygos</w:t>
      </w:r>
    </w:p>
    <w:p w14:paraId="0EA3C26E" w14:textId="77777777" w:rsidR="008A7FEE" w:rsidRPr="000B3A29" w:rsidRDefault="008A7FEE" w:rsidP="00B40E8C">
      <w:pPr>
        <w:spacing w:line="276" w:lineRule="auto"/>
        <w:jc w:val="both"/>
        <w:rPr>
          <w:rFonts w:eastAsia="Calibri"/>
          <w:bCs/>
          <w:lang w:eastAsia="lt-LT"/>
        </w:rPr>
      </w:pPr>
      <w:r w:rsidRPr="000B3A29">
        <w:rPr>
          <w:rFonts w:eastAsia="Calibri"/>
          <w:bCs/>
          <w:lang w:eastAsia="lt-LT"/>
        </w:rPr>
        <w:t>Skiriamas rezekuotinos vietiškai išplitusios galvos ir kaklo plokščialąstelinės karcinomos gydymui suaugusiesiems, kurių navikai ekspresuoja PD-L1 ir CPS rodmuo yra ≥ 1:</w:t>
      </w:r>
    </w:p>
    <w:p w14:paraId="3B66B653" w14:textId="77777777" w:rsidR="008A7FEE" w:rsidRPr="000B3A29" w:rsidRDefault="008A7FEE" w:rsidP="00B40E8C">
      <w:pPr>
        <w:pStyle w:val="Sraopastraipa"/>
        <w:numPr>
          <w:ilvl w:val="0"/>
          <w:numId w:val="16"/>
        </w:numPr>
        <w:spacing w:line="276" w:lineRule="auto"/>
        <w:jc w:val="both"/>
        <w:rPr>
          <w:rFonts w:eastAsia="Calibri"/>
          <w:bCs/>
          <w:lang w:eastAsia="lt-LT"/>
        </w:rPr>
      </w:pPr>
      <w:r w:rsidRPr="000B3A29">
        <w:rPr>
          <w:rFonts w:eastAsia="Calibri"/>
          <w:bCs/>
          <w:lang w:eastAsia="lt-LT"/>
        </w:rPr>
        <w:t>neoadjuvantiniam gydymui kaip monoterapija;</w:t>
      </w:r>
    </w:p>
    <w:p w14:paraId="6E6D691D" w14:textId="77777777" w:rsidR="008A7FEE" w:rsidRPr="000B3A29" w:rsidRDefault="008A7FEE" w:rsidP="00B40E8C">
      <w:pPr>
        <w:pStyle w:val="Sraopastraipa"/>
        <w:numPr>
          <w:ilvl w:val="0"/>
          <w:numId w:val="16"/>
        </w:numPr>
        <w:spacing w:line="276" w:lineRule="auto"/>
        <w:jc w:val="both"/>
        <w:rPr>
          <w:rFonts w:eastAsia="Calibri"/>
          <w:bCs/>
          <w:lang w:eastAsia="lt-LT"/>
        </w:rPr>
      </w:pPr>
      <w:r w:rsidRPr="000B3A29">
        <w:rPr>
          <w:rFonts w:eastAsia="Calibri"/>
          <w:bCs/>
          <w:lang w:eastAsia="lt-LT"/>
        </w:rPr>
        <w:t>vėliau tęsiant adjuvantinį gydymą derinant su radioterapija ir kartu su cisplatina arba be jos;</w:t>
      </w:r>
    </w:p>
    <w:p w14:paraId="76666B01" w14:textId="77777777" w:rsidR="008A7FEE" w:rsidRPr="000B3A29" w:rsidRDefault="008A7FEE" w:rsidP="00B40E8C">
      <w:pPr>
        <w:pStyle w:val="Sraopastraipa"/>
        <w:numPr>
          <w:ilvl w:val="0"/>
          <w:numId w:val="16"/>
        </w:numPr>
        <w:spacing w:line="276" w:lineRule="auto"/>
        <w:jc w:val="both"/>
        <w:rPr>
          <w:rFonts w:eastAsia="Calibri"/>
          <w:bCs/>
          <w:lang w:eastAsia="lt-LT"/>
        </w:rPr>
      </w:pPr>
      <w:r w:rsidRPr="000B3A29">
        <w:rPr>
          <w:rFonts w:eastAsia="Calibri"/>
          <w:bCs/>
          <w:lang w:eastAsia="lt-LT"/>
        </w:rPr>
        <w:t>vėliau tęsiant kaip monoterapiją.</w:t>
      </w:r>
    </w:p>
    <w:p w14:paraId="5223EDBD" w14:textId="77777777" w:rsidR="008A7FEE" w:rsidRPr="000B3A29" w:rsidRDefault="008A7FEE" w:rsidP="00B40E8C">
      <w:pPr>
        <w:spacing w:line="276" w:lineRule="auto"/>
        <w:jc w:val="both"/>
        <w:rPr>
          <w:rFonts w:eastAsia="Calibri"/>
          <w:bCs/>
          <w:szCs w:val="20"/>
          <w:lang w:eastAsia="lt-LT"/>
        </w:rPr>
      </w:pPr>
      <w:r w:rsidRPr="000B3A29">
        <w:rPr>
          <w:rFonts w:eastAsia="Calibri"/>
          <w:bCs/>
          <w:lang w:eastAsia="lt-LT"/>
        </w:rPr>
        <w:t>Gydymas tęsiamas iki ligos progresavimo, ligos recidyvo, nepriimtino toksinio poveikio atsiradimo arba planuoto gydymo užbaigimo, bet ne ilgiau kaip 12 mėnesių.</w:t>
      </w:r>
    </w:p>
    <w:p w14:paraId="33B8DE04" w14:textId="77777777" w:rsidR="00283E59" w:rsidRPr="000B3A29" w:rsidRDefault="00283E59" w:rsidP="00B40E8C">
      <w:pPr>
        <w:widowControl w:val="0"/>
        <w:tabs>
          <w:tab w:val="left" w:pos="1418"/>
        </w:tabs>
        <w:suppressAutoHyphens/>
        <w:spacing w:line="276" w:lineRule="auto"/>
        <w:jc w:val="center"/>
        <w:textAlignment w:val="center"/>
      </w:pPr>
      <w:r w:rsidRPr="000B3A29">
        <w:rPr>
          <w:lang w:eastAsia="lt-LT"/>
        </w:rPr>
        <w:t>____________________________</w:t>
      </w:r>
    </w:p>
    <w:p w14:paraId="7CDFF220" w14:textId="58191D98" w:rsidR="000723FF" w:rsidRPr="000B3A29" w:rsidRDefault="000723FF" w:rsidP="00B40E8C">
      <w:pPr>
        <w:spacing w:line="276" w:lineRule="auto"/>
        <w:rPr>
          <w:b/>
        </w:rPr>
      </w:pPr>
    </w:p>
    <w:sectPr w:rsidR="000723FF" w:rsidRPr="000B3A29" w:rsidSect="00063A50">
      <w:headerReference w:type="first" r:id="rId8"/>
      <w:footerReference w:type="first" r:id="rId9"/>
      <w:pgSz w:w="11907" w:h="16840" w:code="9"/>
      <w:pgMar w:top="1134" w:right="567" w:bottom="1134" w:left="1701" w:header="646"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F4AE2" w14:textId="77777777" w:rsidR="00E337E8" w:rsidRDefault="00E337E8">
      <w:r>
        <w:separator/>
      </w:r>
    </w:p>
  </w:endnote>
  <w:endnote w:type="continuationSeparator" w:id="0">
    <w:p w14:paraId="4785ECE3" w14:textId="77777777" w:rsidR="00E337E8" w:rsidRDefault="00E3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2">
    <w:altName w:val="MS Gothic"/>
    <w:panose1 w:val="00000000000000000000"/>
    <w:charset w:val="80"/>
    <w:family w:val="auto"/>
    <w:notTrueType/>
    <w:pitch w:val="default"/>
    <w:sig w:usb0="00000001" w:usb1="08070000" w:usb2="00000010" w:usb3="00000000" w:csb0="00020000" w:csb1="00000000"/>
  </w:font>
  <w:font w:name="CIDFont+F1">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3368" w14:textId="77777777" w:rsidR="00347FAA" w:rsidRDefault="00347FAA">
    <w:pPr>
      <w:pStyle w:val="Porat"/>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3F6C5" w14:textId="77777777" w:rsidR="00E337E8" w:rsidRDefault="00E337E8">
      <w:r>
        <w:separator/>
      </w:r>
    </w:p>
  </w:footnote>
  <w:footnote w:type="continuationSeparator" w:id="0">
    <w:p w14:paraId="6AAA4796" w14:textId="77777777" w:rsidR="00E337E8" w:rsidRDefault="00E33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1C8F" w14:textId="77777777" w:rsidR="00347FAA" w:rsidRDefault="00347FAA" w:rsidP="00FD793C">
    <w:pPr>
      <w:pStyle w:val="Antrats"/>
      <w:ind w:left="61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E"/>
    <w:multiLevelType w:val="hybridMultilevel"/>
    <w:tmpl w:val="10FAC1C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1276250"/>
    <w:multiLevelType w:val="hybridMultilevel"/>
    <w:tmpl w:val="3B6C29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0081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28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AD2E58"/>
    <w:multiLevelType w:val="hybridMultilevel"/>
    <w:tmpl w:val="F6943F7A"/>
    <w:lvl w:ilvl="0" w:tplc="AB64BC8E">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101C59"/>
    <w:multiLevelType w:val="hybridMultilevel"/>
    <w:tmpl w:val="64544F3A"/>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5" w15:restartNumberingAfterBreak="0">
    <w:nsid w:val="1A816B09"/>
    <w:multiLevelType w:val="hybridMultilevel"/>
    <w:tmpl w:val="8FBEE17A"/>
    <w:lvl w:ilvl="0" w:tplc="0427000F">
      <w:start w:val="16"/>
      <w:numFmt w:val="decimal"/>
      <w:lvlText w:val="%1."/>
      <w:lvlJc w:val="left"/>
      <w:pPr>
        <w:ind w:left="501" w:hanging="36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6" w15:restartNumberingAfterBreak="0">
    <w:nsid w:val="3975004F"/>
    <w:multiLevelType w:val="hybridMultilevel"/>
    <w:tmpl w:val="13E4607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3BCC4222"/>
    <w:multiLevelType w:val="multilevel"/>
    <w:tmpl w:val="C9C6278E"/>
    <w:lvl w:ilvl="0">
      <w:start w:val="2"/>
      <w:numFmt w:val="decimal"/>
      <w:lvlText w:val="%1."/>
      <w:lvlJc w:val="left"/>
      <w:pPr>
        <w:ind w:left="360" w:hanging="360"/>
      </w:pPr>
      <w:rPr>
        <w:rFonts w:eastAsia="Arial Unicode MS" w:hint="default"/>
      </w:rPr>
    </w:lvl>
    <w:lvl w:ilvl="1">
      <w:start w:val="7"/>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8" w15:restartNumberingAfterBreak="0">
    <w:nsid w:val="41953EAB"/>
    <w:multiLevelType w:val="hybridMultilevel"/>
    <w:tmpl w:val="D0F01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9B019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3F34E6"/>
    <w:multiLevelType w:val="hybridMultilevel"/>
    <w:tmpl w:val="BC9E9F26"/>
    <w:lvl w:ilvl="0" w:tplc="04270001">
      <w:start w:val="1"/>
      <w:numFmt w:val="bullet"/>
      <w:lvlText w:val=""/>
      <w:lvlJc w:val="left"/>
      <w:pPr>
        <w:ind w:left="720" w:hanging="360"/>
      </w:pPr>
      <w:rPr>
        <w:rFonts w:ascii="Symbol" w:hAnsi="Symbol" w:hint="default"/>
      </w:rPr>
    </w:lvl>
    <w:lvl w:ilvl="1" w:tplc="DA964732">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9B83C1B"/>
    <w:multiLevelType w:val="multilevel"/>
    <w:tmpl w:val="5F3843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2" w15:restartNumberingAfterBreak="0">
    <w:nsid w:val="5A0D73F3"/>
    <w:multiLevelType w:val="hybridMultilevel"/>
    <w:tmpl w:val="CA9A2AC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49338B0"/>
    <w:multiLevelType w:val="hybridMultilevel"/>
    <w:tmpl w:val="C8DE940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6AB27E1E"/>
    <w:multiLevelType w:val="hybridMultilevel"/>
    <w:tmpl w:val="3D568A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2266018"/>
    <w:multiLevelType w:val="hybridMultilevel"/>
    <w:tmpl w:val="AA9C9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61442565">
    <w:abstractNumId w:val="8"/>
  </w:num>
  <w:num w:numId="2" w16cid:durableId="353462776">
    <w:abstractNumId w:val="2"/>
  </w:num>
  <w:num w:numId="3" w16cid:durableId="1629236907">
    <w:abstractNumId w:val="11"/>
  </w:num>
  <w:num w:numId="4" w16cid:durableId="1867862368">
    <w:abstractNumId w:val="9"/>
  </w:num>
  <w:num w:numId="5" w16cid:durableId="950236167">
    <w:abstractNumId w:val="7"/>
  </w:num>
  <w:num w:numId="6" w16cid:durableId="759448404">
    <w:abstractNumId w:val="6"/>
  </w:num>
  <w:num w:numId="7" w16cid:durableId="774397896">
    <w:abstractNumId w:val="4"/>
  </w:num>
  <w:num w:numId="8" w16cid:durableId="2002460207">
    <w:abstractNumId w:val="15"/>
  </w:num>
  <w:num w:numId="9" w16cid:durableId="1935435542">
    <w:abstractNumId w:val="0"/>
  </w:num>
  <w:num w:numId="10" w16cid:durableId="1945182940">
    <w:abstractNumId w:val="12"/>
  </w:num>
  <w:num w:numId="11" w16cid:durableId="2142263879">
    <w:abstractNumId w:val="14"/>
  </w:num>
  <w:num w:numId="12" w16cid:durableId="85619259">
    <w:abstractNumId w:val="3"/>
  </w:num>
  <w:num w:numId="13" w16cid:durableId="291791317">
    <w:abstractNumId w:val="5"/>
  </w:num>
  <w:num w:numId="14" w16cid:durableId="40981184">
    <w:abstractNumId w:val="1"/>
  </w:num>
  <w:num w:numId="15" w16cid:durableId="1993097649">
    <w:abstractNumId w:val="10"/>
  </w:num>
  <w:num w:numId="16" w16cid:durableId="13535312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E7"/>
    <w:rsid w:val="000001B0"/>
    <w:rsid w:val="00003F5B"/>
    <w:rsid w:val="000114DD"/>
    <w:rsid w:val="000136F7"/>
    <w:rsid w:val="000203E1"/>
    <w:rsid w:val="0002686C"/>
    <w:rsid w:val="00031D0E"/>
    <w:rsid w:val="000337E6"/>
    <w:rsid w:val="0003402E"/>
    <w:rsid w:val="00034EAE"/>
    <w:rsid w:val="00042924"/>
    <w:rsid w:val="000448C6"/>
    <w:rsid w:val="00052BD8"/>
    <w:rsid w:val="00053975"/>
    <w:rsid w:val="00057A2B"/>
    <w:rsid w:val="000606BE"/>
    <w:rsid w:val="000624FF"/>
    <w:rsid w:val="00063A50"/>
    <w:rsid w:val="000723FF"/>
    <w:rsid w:val="00072A9E"/>
    <w:rsid w:val="000736B8"/>
    <w:rsid w:val="0008190F"/>
    <w:rsid w:val="00081D9C"/>
    <w:rsid w:val="00082907"/>
    <w:rsid w:val="0008378D"/>
    <w:rsid w:val="000908A5"/>
    <w:rsid w:val="00092805"/>
    <w:rsid w:val="000A50C9"/>
    <w:rsid w:val="000B2B2C"/>
    <w:rsid w:val="000B3A29"/>
    <w:rsid w:val="000B76AD"/>
    <w:rsid w:val="000C454C"/>
    <w:rsid w:val="000D5038"/>
    <w:rsid w:val="000E29D4"/>
    <w:rsid w:val="000F3540"/>
    <w:rsid w:val="00100491"/>
    <w:rsid w:val="00104E2E"/>
    <w:rsid w:val="00107287"/>
    <w:rsid w:val="00117194"/>
    <w:rsid w:val="00117406"/>
    <w:rsid w:val="00121EF0"/>
    <w:rsid w:val="00124A9E"/>
    <w:rsid w:val="00130703"/>
    <w:rsid w:val="0013153F"/>
    <w:rsid w:val="001408B8"/>
    <w:rsid w:val="001466FE"/>
    <w:rsid w:val="001517E2"/>
    <w:rsid w:val="001521D9"/>
    <w:rsid w:val="001554E2"/>
    <w:rsid w:val="00164146"/>
    <w:rsid w:val="00164D64"/>
    <w:rsid w:val="0017369C"/>
    <w:rsid w:val="00175D57"/>
    <w:rsid w:val="00180C39"/>
    <w:rsid w:val="00180D96"/>
    <w:rsid w:val="00184BD3"/>
    <w:rsid w:val="001921F3"/>
    <w:rsid w:val="001A0CAA"/>
    <w:rsid w:val="001B3C5B"/>
    <w:rsid w:val="001C2FC8"/>
    <w:rsid w:val="001C6353"/>
    <w:rsid w:val="001D5B91"/>
    <w:rsid w:val="001D746F"/>
    <w:rsid w:val="001E0B2D"/>
    <w:rsid w:val="001E4BBB"/>
    <w:rsid w:val="001E6304"/>
    <w:rsid w:val="001F0D14"/>
    <w:rsid w:val="001F115E"/>
    <w:rsid w:val="0020381E"/>
    <w:rsid w:val="00213471"/>
    <w:rsid w:val="00214509"/>
    <w:rsid w:val="00215906"/>
    <w:rsid w:val="00241CD8"/>
    <w:rsid w:val="00244B09"/>
    <w:rsid w:val="002519CB"/>
    <w:rsid w:val="0025697F"/>
    <w:rsid w:val="00260258"/>
    <w:rsid w:val="0026588E"/>
    <w:rsid w:val="00272428"/>
    <w:rsid w:val="00272948"/>
    <w:rsid w:val="00283E59"/>
    <w:rsid w:val="00292392"/>
    <w:rsid w:val="002946C7"/>
    <w:rsid w:val="002B3CC1"/>
    <w:rsid w:val="002C0686"/>
    <w:rsid w:val="002C09E0"/>
    <w:rsid w:val="002C100E"/>
    <w:rsid w:val="002C1BB1"/>
    <w:rsid w:val="002C2786"/>
    <w:rsid w:val="002C3A10"/>
    <w:rsid w:val="002C4A90"/>
    <w:rsid w:val="002C4ED5"/>
    <w:rsid w:val="002D02EF"/>
    <w:rsid w:val="002E0702"/>
    <w:rsid w:val="002E1A83"/>
    <w:rsid w:val="002E57AD"/>
    <w:rsid w:val="002E6F80"/>
    <w:rsid w:val="002F0E4F"/>
    <w:rsid w:val="002F1053"/>
    <w:rsid w:val="002F73CC"/>
    <w:rsid w:val="00314816"/>
    <w:rsid w:val="00317B0E"/>
    <w:rsid w:val="0032639A"/>
    <w:rsid w:val="00334F18"/>
    <w:rsid w:val="00336238"/>
    <w:rsid w:val="00347FAA"/>
    <w:rsid w:val="0035172D"/>
    <w:rsid w:val="00353DF0"/>
    <w:rsid w:val="0036187D"/>
    <w:rsid w:val="00367EDB"/>
    <w:rsid w:val="003705F0"/>
    <w:rsid w:val="0037791A"/>
    <w:rsid w:val="00381024"/>
    <w:rsid w:val="00386307"/>
    <w:rsid w:val="003874DE"/>
    <w:rsid w:val="00393E9F"/>
    <w:rsid w:val="0039696E"/>
    <w:rsid w:val="003B211A"/>
    <w:rsid w:val="003C141F"/>
    <w:rsid w:val="003C6B0E"/>
    <w:rsid w:val="003C7257"/>
    <w:rsid w:val="003C7E35"/>
    <w:rsid w:val="003D1E99"/>
    <w:rsid w:val="003D6208"/>
    <w:rsid w:val="003F6087"/>
    <w:rsid w:val="00404E8A"/>
    <w:rsid w:val="0040622F"/>
    <w:rsid w:val="00413F24"/>
    <w:rsid w:val="00422853"/>
    <w:rsid w:val="00423160"/>
    <w:rsid w:val="00437623"/>
    <w:rsid w:val="00444A2B"/>
    <w:rsid w:val="00453862"/>
    <w:rsid w:val="0045469B"/>
    <w:rsid w:val="00461338"/>
    <w:rsid w:val="004677DB"/>
    <w:rsid w:val="00476256"/>
    <w:rsid w:val="0048630F"/>
    <w:rsid w:val="004947A1"/>
    <w:rsid w:val="0049482A"/>
    <w:rsid w:val="004979D3"/>
    <w:rsid w:val="004A00E7"/>
    <w:rsid w:val="004A3A61"/>
    <w:rsid w:val="004B21B3"/>
    <w:rsid w:val="004B59BA"/>
    <w:rsid w:val="004B5A03"/>
    <w:rsid w:val="004C263A"/>
    <w:rsid w:val="004C6221"/>
    <w:rsid w:val="004D48A6"/>
    <w:rsid w:val="004D70B6"/>
    <w:rsid w:val="004D7B8F"/>
    <w:rsid w:val="004E241F"/>
    <w:rsid w:val="004E6458"/>
    <w:rsid w:val="004E6E7D"/>
    <w:rsid w:val="004F1AAC"/>
    <w:rsid w:val="004F1AE2"/>
    <w:rsid w:val="004F34F0"/>
    <w:rsid w:val="004F3B2B"/>
    <w:rsid w:val="004F6050"/>
    <w:rsid w:val="005005EF"/>
    <w:rsid w:val="005123C2"/>
    <w:rsid w:val="0052144B"/>
    <w:rsid w:val="00524066"/>
    <w:rsid w:val="00526A0F"/>
    <w:rsid w:val="00534E11"/>
    <w:rsid w:val="005378D8"/>
    <w:rsid w:val="005400D9"/>
    <w:rsid w:val="00544555"/>
    <w:rsid w:val="005476A4"/>
    <w:rsid w:val="0055019B"/>
    <w:rsid w:val="00556E63"/>
    <w:rsid w:val="005601A4"/>
    <w:rsid w:val="0056187C"/>
    <w:rsid w:val="00566DBB"/>
    <w:rsid w:val="00567B14"/>
    <w:rsid w:val="005767DB"/>
    <w:rsid w:val="005815E6"/>
    <w:rsid w:val="0058712F"/>
    <w:rsid w:val="005976CE"/>
    <w:rsid w:val="005A23D4"/>
    <w:rsid w:val="005A2D1E"/>
    <w:rsid w:val="005A4698"/>
    <w:rsid w:val="005B3756"/>
    <w:rsid w:val="005C493F"/>
    <w:rsid w:val="005C6BF7"/>
    <w:rsid w:val="005C71BF"/>
    <w:rsid w:val="005D002C"/>
    <w:rsid w:val="005D30E1"/>
    <w:rsid w:val="005D6555"/>
    <w:rsid w:val="005D7BDF"/>
    <w:rsid w:val="005E1581"/>
    <w:rsid w:val="005E28D4"/>
    <w:rsid w:val="005E4870"/>
    <w:rsid w:val="005F71D9"/>
    <w:rsid w:val="005F7602"/>
    <w:rsid w:val="006062BE"/>
    <w:rsid w:val="00613143"/>
    <w:rsid w:val="00613501"/>
    <w:rsid w:val="0061611B"/>
    <w:rsid w:val="006166A8"/>
    <w:rsid w:val="006174A1"/>
    <w:rsid w:val="00621D6C"/>
    <w:rsid w:val="00633B49"/>
    <w:rsid w:val="00635F26"/>
    <w:rsid w:val="0064297F"/>
    <w:rsid w:val="00645102"/>
    <w:rsid w:val="00646CF3"/>
    <w:rsid w:val="00653D11"/>
    <w:rsid w:val="00662983"/>
    <w:rsid w:val="006834D3"/>
    <w:rsid w:val="00692625"/>
    <w:rsid w:val="00695CD3"/>
    <w:rsid w:val="006A38B6"/>
    <w:rsid w:val="006B1987"/>
    <w:rsid w:val="006B5B71"/>
    <w:rsid w:val="006B5D3E"/>
    <w:rsid w:val="006B6CB0"/>
    <w:rsid w:val="006C2B64"/>
    <w:rsid w:val="006D1BF3"/>
    <w:rsid w:val="006D4C85"/>
    <w:rsid w:val="006D66AC"/>
    <w:rsid w:val="006E33F6"/>
    <w:rsid w:val="006F1251"/>
    <w:rsid w:val="006F1C23"/>
    <w:rsid w:val="006F3B0A"/>
    <w:rsid w:val="00702C18"/>
    <w:rsid w:val="00703166"/>
    <w:rsid w:val="007111C4"/>
    <w:rsid w:val="007127F3"/>
    <w:rsid w:val="007301CF"/>
    <w:rsid w:val="007316FB"/>
    <w:rsid w:val="00737E2D"/>
    <w:rsid w:val="007424D5"/>
    <w:rsid w:val="00745C63"/>
    <w:rsid w:val="00745E29"/>
    <w:rsid w:val="00750A88"/>
    <w:rsid w:val="007523DD"/>
    <w:rsid w:val="00757B7E"/>
    <w:rsid w:val="007656B2"/>
    <w:rsid w:val="0077016F"/>
    <w:rsid w:val="007713AD"/>
    <w:rsid w:val="00795DC5"/>
    <w:rsid w:val="00797153"/>
    <w:rsid w:val="007A21F7"/>
    <w:rsid w:val="007A2B68"/>
    <w:rsid w:val="007B0DDA"/>
    <w:rsid w:val="007D3347"/>
    <w:rsid w:val="007D654E"/>
    <w:rsid w:val="007E5466"/>
    <w:rsid w:val="007E6068"/>
    <w:rsid w:val="007F1949"/>
    <w:rsid w:val="007F2592"/>
    <w:rsid w:val="00800A08"/>
    <w:rsid w:val="00817A84"/>
    <w:rsid w:val="008225A4"/>
    <w:rsid w:val="00824B92"/>
    <w:rsid w:val="00826D5E"/>
    <w:rsid w:val="00832013"/>
    <w:rsid w:val="00832DB7"/>
    <w:rsid w:val="00834732"/>
    <w:rsid w:val="0085200C"/>
    <w:rsid w:val="00852378"/>
    <w:rsid w:val="00853487"/>
    <w:rsid w:val="00857C52"/>
    <w:rsid w:val="008600DD"/>
    <w:rsid w:val="00860D5F"/>
    <w:rsid w:val="00880A44"/>
    <w:rsid w:val="0088345E"/>
    <w:rsid w:val="0088656F"/>
    <w:rsid w:val="008875BC"/>
    <w:rsid w:val="00891EF6"/>
    <w:rsid w:val="00892FF4"/>
    <w:rsid w:val="0089345A"/>
    <w:rsid w:val="008A0303"/>
    <w:rsid w:val="008A5FDD"/>
    <w:rsid w:val="008A7FEE"/>
    <w:rsid w:val="008C3947"/>
    <w:rsid w:val="008D19D8"/>
    <w:rsid w:val="008E473B"/>
    <w:rsid w:val="008E51A6"/>
    <w:rsid w:val="008E7329"/>
    <w:rsid w:val="008F2ED5"/>
    <w:rsid w:val="0092297E"/>
    <w:rsid w:val="00923292"/>
    <w:rsid w:val="00923651"/>
    <w:rsid w:val="00924DF7"/>
    <w:rsid w:val="009250ED"/>
    <w:rsid w:val="00927B56"/>
    <w:rsid w:val="009341BF"/>
    <w:rsid w:val="00937907"/>
    <w:rsid w:val="00941739"/>
    <w:rsid w:val="00951573"/>
    <w:rsid w:val="00963003"/>
    <w:rsid w:val="00965919"/>
    <w:rsid w:val="00966EEF"/>
    <w:rsid w:val="00971B28"/>
    <w:rsid w:val="00983471"/>
    <w:rsid w:val="009909AB"/>
    <w:rsid w:val="009B37DB"/>
    <w:rsid w:val="009C7A8C"/>
    <w:rsid w:val="009D23F9"/>
    <w:rsid w:val="009D4FA8"/>
    <w:rsid w:val="009E44AE"/>
    <w:rsid w:val="009E6CD6"/>
    <w:rsid w:val="009F4D66"/>
    <w:rsid w:val="00A00C3C"/>
    <w:rsid w:val="00A01091"/>
    <w:rsid w:val="00A042B9"/>
    <w:rsid w:val="00A06DBB"/>
    <w:rsid w:val="00A1749F"/>
    <w:rsid w:val="00A22ADF"/>
    <w:rsid w:val="00A2310D"/>
    <w:rsid w:val="00A254A2"/>
    <w:rsid w:val="00A31E86"/>
    <w:rsid w:val="00A54D87"/>
    <w:rsid w:val="00A5553C"/>
    <w:rsid w:val="00A67520"/>
    <w:rsid w:val="00A701C9"/>
    <w:rsid w:val="00A74C0F"/>
    <w:rsid w:val="00A81785"/>
    <w:rsid w:val="00A84803"/>
    <w:rsid w:val="00A84C51"/>
    <w:rsid w:val="00A86F2B"/>
    <w:rsid w:val="00A91366"/>
    <w:rsid w:val="00A92F91"/>
    <w:rsid w:val="00A93AA6"/>
    <w:rsid w:val="00AA4E48"/>
    <w:rsid w:val="00AA6202"/>
    <w:rsid w:val="00AA7B57"/>
    <w:rsid w:val="00AB2806"/>
    <w:rsid w:val="00AB2D54"/>
    <w:rsid w:val="00AC26FC"/>
    <w:rsid w:val="00AC4A99"/>
    <w:rsid w:val="00AC5129"/>
    <w:rsid w:val="00AC64D2"/>
    <w:rsid w:val="00AD02E7"/>
    <w:rsid w:val="00AE0FE8"/>
    <w:rsid w:val="00AE74B5"/>
    <w:rsid w:val="00AF4CD5"/>
    <w:rsid w:val="00AF60D5"/>
    <w:rsid w:val="00B00959"/>
    <w:rsid w:val="00B04415"/>
    <w:rsid w:val="00B06509"/>
    <w:rsid w:val="00B11D60"/>
    <w:rsid w:val="00B13D65"/>
    <w:rsid w:val="00B21805"/>
    <w:rsid w:val="00B268C5"/>
    <w:rsid w:val="00B3072E"/>
    <w:rsid w:val="00B36E15"/>
    <w:rsid w:val="00B37245"/>
    <w:rsid w:val="00B4017A"/>
    <w:rsid w:val="00B40E8C"/>
    <w:rsid w:val="00B4468D"/>
    <w:rsid w:val="00B71C72"/>
    <w:rsid w:val="00B71F04"/>
    <w:rsid w:val="00B74A62"/>
    <w:rsid w:val="00B811A4"/>
    <w:rsid w:val="00B81E92"/>
    <w:rsid w:val="00B903A5"/>
    <w:rsid w:val="00B903AE"/>
    <w:rsid w:val="00B908D7"/>
    <w:rsid w:val="00B935E8"/>
    <w:rsid w:val="00B93B30"/>
    <w:rsid w:val="00B94CB5"/>
    <w:rsid w:val="00BA0DD9"/>
    <w:rsid w:val="00BA5DBC"/>
    <w:rsid w:val="00BA6584"/>
    <w:rsid w:val="00BB6312"/>
    <w:rsid w:val="00BC39C2"/>
    <w:rsid w:val="00BC48BF"/>
    <w:rsid w:val="00BC4D06"/>
    <w:rsid w:val="00BD05E1"/>
    <w:rsid w:val="00BD585E"/>
    <w:rsid w:val="00BD6919"/>
    <w:rsid w:val="00BE1EA7"/>
    <w:rsid w:val="00BE7489"/>
    <w:rsid w:val="00BF2E0D"/>
    <w:rsid w:val="00BF3927"/>
    <w:rsid w:val="00BF3F8B"/>
    <w:rsid w:val="00BF76DA"/>
    <w:rsid w:val="00C00CDB"/>
    <w:rsid w:val="00C07C7B"/>
    <w:rsid w:val="00C16245"/>
    <w:rsid w:val="00C22DC5"/>
    <w:rsid w:val="00C24479"/>
    <w:rsid w:val="00C273F2"/>
    <w:rsid w:val="00C37B53"/>
    <w:rsid w:val="00C434EB"/>
    <w:rsid w:val="00C517D2"/>
    <w:rsid w:val="00C5772E"/>
    <w:rsid w:val="00C62B36"/>
    <w:rsid w:val="00C7012C"/>
    <w:rsid w:val="00C712EA"/>
    <w:rsid w:val="00C77960"/>
    <w:rsid w:val="00C9728E"/>
    <w:rsid w:val="00CA217D"/>
    <w:rsid w:val="00CA3131"/>
    <w:rsid w:val="00CC09D4"/>
    <w:rsid w:val="00CC4F5F"/>
    <w:rsid w:val="00CC668D"/>
    <w:rsid w:val="00CC7832"/>
    <w:rsid w:val="00CD488E"/>
    <w:rsid w:val="00CE4B0B"/>
    <w:rsid w:val="00CF0C1C"/>
    <w:rsid w:val="00CF27FD"/>
    <w:rsid w:val="00CF5F12"/>
    <w:rsid w:val="00D00D8F"/>
    <w:rsid w:val="00D12869"/>
    <w:rsid w:val="00D14512"/>
    <w:rsid w:val="00D15ED6"/>
    <w:rsid w:val="00D21F3A"/>
    <w:rsid w:val="00D23808"/>
    <w:rsid w:val="00D27D7C"/>
    <w:rsid w:val="00D3016A"/>
    <w:rsid w:val="00D417D2"/>
    <w:rsid w:val="00D42960"/>
    <w:rsid w:val="00D42990"/>
    <w:rsid w:val="00D43BD7"/>
    <w:rsid w:val="00D4485B"/>
    <w:rsid w:val="00D46CCD"/>
    <w:rsid w:val="00D4708D"/>
    <w:rsid w:val="00D4744C"/>
    <w:rsid w:val="00D51046"/>
    <w:rsid w:val="00D521DE"/>
    <w:rsid w:val="00D5470B"/>
    <w:rsid w:val="00D63068"/>
    <w:rsid w:val="00D6498C"/>
    <w:rsid w:val="00D65F80"/>
    <w:rsid w:val="00D67BAF"/>
    <w:rsid w:val="00D76A70"/>
    <w:rsid w:val="00D83182"/>
    <w:rsid w:val="00D8521E"/>
    <w:rsid w:val="00D9291C"/>
    <w:rsid w:val="00D93A97"/>
    <w:rsid w:val="00DA5602"/>
    <w:rsid w:val="00DB1F64"/>
    <w:rsid w:val="00DC261A"/>
    <w:rsid w:val="00DC2F53"/>
    <w:rsid w:val="00DC5BAC"/>
    <w:rsid w:val="00DC6816"/>
    <w:rsid w:val="00DC76C2"/>
    <w:rsid w:val="00DD1CF2"/>
    <w:rsid w:val="00DE4484"/>
    <w:rsid w:val="00DF41B7"/>
    <w:rsid w:val="00DF4A4A"/>
    <w:rsid w:val="00DF583C"/>
    <w:rsid w:val="00E03C3F"/>
    <w:rsid w:val="00E06FD7"/>
    <w:rsid w:val="00E07417"/>
    <w:rsid w:val="00E24D45"/>
    <w:rsid w:val="00E337E8"/>
    <w:rsid w:val="00E33DB8"/>
    <w:rsid w:val="00E33EFF"/>
    <w:rsid w:val="00E34387"/>
    <w:rsid w:val="00E348BA"/>
    <w:rsid w:val="00E369FE"/>
    <w:rsid w:val="00E37C6F"/>
    <w:rsid w:val="00E475F8"/>
    <w:rsid w:val="00E5102E"/>
    <w:rsid w:val="00E5721C"/>
    <w:rsid w:val="00E619C6"/>
    <w:rsid w:val="00E70CED"/>
    <w:rsid w:val="00E745A1"/>
    <w:rsid w:val="00E81529"/>
    <w:rsid w:val="00E83A13"/>
    <w:rsid w:val="00EB1151"/>
    <w:rsid w:val="00EB6FC5"/>
    <w:rsid w:val="00EC2356"/>
    <w:rsid w:val="00EC2582"/>
    <w:rsid w:val="00EC337C"/>
    <w:rsid w:val="00ED0CFF"/>
    <w:rsid w:val="00ED31D2"/>
    <w:rsid w:val="00EE0EAC"/>
    <w:rsid w:val="00EE3322"/>
    <w:rsid w:val="00EE33CB"/>
    <w:rsid w:val="00F0061A"/>
    <w:rsid w:val="00F01091"/>
    <w:rsid w:val="00F02834"/>
    <w:rsid w:val="00F04EEB"/>
    <w:rsid w:val="00F05467"/>
    <w:rsid w:val="00F055D2"/>
    <w:rsid w:val="00F07CD7"/>
    <w:rsid w:val="00F125F8"/>
    <w:rsid w:val="00F127E9"/>
    <w:rsid w:val="00F14477"/>
    <w:rsid w:val="00F14B5D"/>
    <w:rsid w:val="00F24328"/>
    <w:rsid w:val="00F259FC"/>
    <w:rsid w:val="00F313F4"/>
    <w:rsid w:val="00F36972"/>
    <w:rsid w:val="00F42426"/>
    <w:rsid w:val="00F44F01"/>
    <w:rsid w:val="00F456BC"/>
    <w:rsid w:val="00F50666"/>
    <w:rsid w:val="00F70731"/>
    <w:rsid w:val="00F70C9E"/>
    <w:rsid w:val="00F74A74"/>
    <w:rsid w:val="00F7572C"/>
    <w:rsid w:val="00F8382C"/>
    <w:rsid w:val="00F855D7"/>
    <w:rsid w:val="00F92035"/>
    <w:rsid w:val="00F92748"/>
    <w:rsid w:val="00FA3E67"/>
    <w:rsid w:val="00FA4169"/>
    <w:rsid w:val="00FB0D41"/>
    <w:rsid w:val="00FB2030"/>
    <w:rsid w:val="00FC1664"/>
    <w:rsid w:val="00FD0E46"/>
    <w:rsid w:val="00FD1060"/>
    <w:rsid w:val="00FD1CF2"/>
    <w:rsid w:val="00FD3EDF"/>
    <w:rsid w:val="00FD793C"/>
    <w:rsid w:val="00FE0FD5"/>
    <w:rsid w:val="00FE20E6"/>
    <w:rsid w:val="00FE3E3B"/>
    <w:rsid w:val="00FE5878"/>
    <w:rsid w:val="00FF4032"/>
    <w:rsid w:val="00FF4A2E"/>
    <w:rsid w:val="00FF6469"/>
    <w:rsid w:val="00FF7E4A"/>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81529"/>
    <w:rPr>
      <w:sz w:val="24"/>
      <w:szCs w:val="24"/>
      <w:lang w:eastAsia="en-US"/>
    </w:rPr>
  </w:style>
  <w:style w:type="paragraph" w:styleId="Antrat1">
    <w:name w:val="heading 1"/>
    <w:basedOn w:val="prastasis"/>
    <w:next w:val="prastasis"/>
    <w:qFormat/>
    <w:rsid w:val="00A84C51"/>
    <w:pPr>
      <w:keepNext/>
      <w:jc w:val="center"/>
      <w:outlineLvl w:val="0"/>
    </w:pPr>
    <w:rPr>
      <w:b/>
      <w:bCs/>
      <w:caps/>
    </w:rPr>
  </w:style>
  <w:style w:type="paragraph" w:styleId="Antrat2">
    <w:name w:val="heading 2"/>
    <w:basedOn w:val="prastasis"/>
    <w:next w:val="prastasis"/>
    <w:qFormat/>
    <w:rsid w:val="00A84C51"/>
    <w:pPr>
      <w:keepNext/>
      <w:jc w:val="center"/>
      <w:outlineLvl w:val="1"/>
    </w:pPr>
    <w:rPr>
      <w:b/>
      <w:bCs/>
      <w:caps/>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84C51"/>
    <w:pPr>
      <w:tabs>
        <w:tab w:val="center" w:pos="4986"/>
        <w:tab w:val="right" w:pos="9972"/>
      </w:tabs>
    </w:pPr>
  </w:style>
  <w:style w:type="paragraph" w:styleId="Porat">
    <w:name w:val="footer"/>
    <w:basedOn w:val="prastasis"/>
    <w:link w:val="PoratDiagrama"/>
    <w:rsid w:val="00A84C51"/>
    <w:pPr>
      <w:tabs>
        <w:tab w:val="center" w:pos="4986"/>
        <w:tab w:val="right" w:pos="9972"/>
      </w:tabs>
    </w:pPr>
  </w:style>
  <w:style w:type="character" w:styleId="Puslapionumeris">
    <w:name w:val="page number"/>
    <w:basedOn w:val="Numatytasispastraiposriftas"/>
    <w:rsid w:val="00A84C51"/>
  </w:style>
  <w:style w:type="character" w:styleId="Hipersaitas">
    <w:name w:val="Hyperlink"/>
    <w:basedOn w:val="Numatytasispastraiposriftas"/>
    <w:rsid w:val="00A84C51"/>
    <w:rPr>
      <w:color w:val="0000FF"/>
      <w:u w:val="single"/>
    </w:rPr>
  </w:style>
  <w:style w:type="paragraph" w:styleId="Debesliotekstas">
    <w:name w:val="Balloon Text"/>
    <w:basedOn w:val="prastasis"/>
    <w:semiHidden/>
    <w:rsid w:val="00EC2356"/>
    <w:rPr>
      <w:rFonts w:ascii="Tahoma" w:hAnsi="Tahoma" w:cs="Tahoma"/>
      <w:sz w:val="16"/>
      <w:szCs w:val="16"/>
    </w:rPr>
  </w:style>
  <w:style w:type="character" w:customStyle="1" w:styleId="PoratDiagrama">
    <w:name w:val="Poraštė Diagrama"/>
    <w:basedOn w:val="Numatytasispastraiposriftas"/>
    <w:link w:val="Porat"/>
    <w:rsid w:val="00737E2D"/>
    <w:rPr>
      <w:sz w:val="24"/>
      <w:szCs w:val="24"/>
      <w:lang w:eastAsia="en-US"/>
    </w:rPr>
  </w:style>
  <w:style w:type="character" w:customStyle="1" w:styleId="Neapdorotaspaminjimas1">
    <w:name w:val="Neapdorotas paminėjimas1"/>
    <w:basedOn w:val="Numatytasispastraiposriftas"/>
    <w:uiPriority w:val="99"/>
    <w:semiHidden/>
    <w:unhideWhenUsed/>
    <w:rsid w:val="00A31E86"/>
    <w:rPr>
      <w:color w:val="605E5C"/>
      <w:shd w:val="clear" w:color="auto" w:fill="E1DFDD"/>
    </w:rPr>
  </w:style>
  <w:style w:type="character" w:styleId="Perirtashipersaitas">
    <w:name w:val="FollowedHyperlink"/>
    <w:basedOn w:val="Numatytasispastraiposriftas"/>
    <w:semiHidden/>
    <w:unhideWhenUsed/>
    <w:rsid w:val="00A31E86"/>
    <w:rPr>
      <w:color w:val="800080" w:themeColor="followedHyperlink"/>
      <w:u w:val="single"/>
    </w:rPr>
  </w:style>
  <w:style w:type="table" w:styleId="Lentelstinklelis">
    <w:name w:val="Table Grid"/>
    <w:basedOn w:val="prastojilentel"/>
    <w:rsid w:val="00D4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C7012C"/>
    <w:rPr>
      <w:sz w:val="16"/>
      <w:szCs w:val="16"/>
    </w:rPr>
  </w:style>
  <w:style w:type="paragraph" w:styleId="Komentarotekstas">
    <w:name w:val="annotation text"/>
    <w:basedOn w:val="prastasis"/>
    <w:link w:val="KomentarotekstasDiagrama"/>
    <w:unhideWhenUsed/>
    <w:rsid w:val="00C7012C"/>
    <w:rPr>
      <w:sz w:val="20"/>
      <w:szCs w:val="20"/>
    </w:rPr>
  </w:style>
  <w:style w:type="character" w:customStyle="1" w:styleId="KomentarotekstasDiagrama">
    <w:name w:val="Komentaro tekstas Diagrama"/>
    <w:basedOn w:val="Numatytasispastraiposriftas"/>
    <w:link w:val="Komentarotekstas"/>
    <w:rsid w:val="00C7012C"/>
    <w:rPr>
      <w:lang w:eastAsia="en-US"/>
    </w:rPr>
  </w:style>
  <w:style w:type="paragraph" w:styleId="Komentarotema">
    <w:name w:val="annotation subject"/>
    <w:basedOn w:val="Komentarotekstas"/>
    <w:next w:val="Komentarotekstas"/>
    <w:link w:val="KomentarotemaDiagrama"/>
    <w:semiHidden/>
    <w:unhideWhenUsed/>
    <w:rsid w:val="00C7012C"/>
    <w:rPr>
      <w:b/>
      <w:bCs/>
    </w:rPr>
  </w:style>
  <w:style w:type="character" w:customStyle="1" w:styleId="KomentarotemaDiagrama">
    <w:name w:val="Komentaro tema Diagrama"/>
    <w:basedOn w:val="KomentarotekstasDiagrama"/>
    <w:link w:val="Komentarotema"/>
    <w:semiHidden/>
    <w:rsid w:val="00C7012C"/>
    <w:rPr>
      <w:b/>
      <w:bCs/>
      <w:lang w:eastAsia="en-US"/>
    </w:rPr>
  </w:style>
  <w:style w:type="paragraph" w:styleId="Sraopastraipa">
    <w:name w:val="List Paragraph"/>
    <w:basedOn w:val="prastasis"/>
    <w:uiPriority w:val="34"/>
    <w:qFormat/>
    <w:rsid w:val="00104E2E"/>
    <w:pPr>
      <w:ind w:left="720"/>
      <w:contextualSpacing/>
    </w:pPr>
  </w:style>
  <w:style w:type="character" w:customStyle="1" w:styleId="Style2">
    <w:name w:val="Style2"/>
    <w:basedOn w:val="Numatytasispastraiposriftas"/>
    <w:uiPriority w:val="1"/>
    <w:rsid w:val="00D6498C"/>
    <w:rPr>
      <w:sz w:val="32"/>
    </w:rPr>
  </w:style>
  <w:style w:type="character" w:styleId="Vietosrezervavimoenklotekstas">
    <w:name w:val="Placeholder Text"/>
    <w:basedOn w:val="Numatytasispastraiposriftas"/>
    <w:uiPriority w:val="99"/>
    <w:rsid w:val="00B13D65"/>
    <w:rPr>
      <w:color w:val="808080"/>
    </w:rPr>
  </w:style>
  <w:style w:type="paragraph" w:styleId="Betarp">
    <w:name w:val="No Spacing"/>
    <w:uiPriority w:val="1"/>
    <w:qFormat/>
    <w:rsid w:val="00B13D65"/>
    <w:rPr>
      <w:rFonts w:ascii="Calibri" w:eastAsia="Calibri" w:hAnsi="Calibri"/>
      <w:sz w:val="22"/>
      <w:szCs w:val="22"/>
      <w:lang w:eastAsia="en-US"/>
    </w:rPr>
  </w:style>
  <w:style w:type="table" w:customStyle="1" w:styleId="Lentelstinklelis1">
    <w:name w:val="Lentelės tinklelis1"/>
    <w:basedOn w:val="prastojilentel"/>
    <w:next w:val="Lentelstinklelis"/>
    <w:rsid w:val="009E44AE"/>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76256"/>
    <w:rPr>
      <w:sz w:val="24"/>
      <w:szCs w:val="24"/>
      <w:lang w:eastAsia="en-US"/>
    </w:rPr>
  </w:style>
  <w:style w:type="paragraph" w:customStyle="1" w:styleId="font-claude-response-body">
    <w:name w:val="font-claude-response-body"/>
    <w:basedOn w:val="prastasis"/>
    <w:rsid w:val="00B903AE"/>
    <w:pPr>
      <w:spacing w:before="100" w:beforeAutospacing="1" w:after="100" w:afterAutospacing="1"/>
    </w:pPr>
    <w:rPr>
      <w:lang w:eastAsia="lt-LT"/>
    </w:rPr>
  </w:style>
  <w:style w:type="character" w:styleId="Grietas">
    <w:name w:val="Strong"/>
    <w:basedOn w:val="Numatytasispastraiposriftas"/>
    <w:uiPriority w:val="22"/>
    <w:qFormat/>
    <w:rsid w:val="00B903AE"/>
    <w:rPr>
      <w:b/>
      <w:bCs/>
    </w:rPr>
  </w:style>
  <w:style w:type="paragraph" w:customStyle="1" w:styleId="Tekstas">
    <w:name w:val="Tekstas"/>
    <w:basedOn w:val="prastasis"/>
    <w:link w:val="TekstasChar"/>
    <w:qFormat/>
    <w:rsid w:val="00AF4CD5"/>
    <w:pPr>
      <w:spacing w:after="120"/>
      <w:jc w:val="both"/>
    </w:pPr>
    <w:rPr>
      <w:color w:val="000000" w:themeColor="text1"/>
      <w:lang w:val="en-US"/>
    </w:rPr>
  </w:style>
  <w:style w:type="character" w:customStyle="1" w:styleId="TekstasChar">
    <w:name w:val="Tekstas Char"/>
    <w:link w:val="Tekstas"/>
    <w:rsid w:val="00AF4CD5"/>
    <w:rPr>
      <w:color w:val="000000" w:themeColor="text1"/>
      <w:sz w:val="24"/>
      <w:szCs w:val="24"/>
      <w:lang w:val="en-US" w:eastAsia="en-US"/>
    </w:rPr>
  </w:style>
  <w:style w:type="paragraph" w:styleId="prastasiniatinklio">
    <w:name w:val="Normal (Web)"/>
    <w:basedOn w:val="prastasis"/>
    <w:uiPriority w:val="99"/>
    <w:unhideWhenUsed/>
    <w:rsid w:val="00AF4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802146">
      <w:bodyDiv w:val="1"/>
      <w:marLeft w:val="0"/>
      <w:marRight w:val="0"/>
      <w:marTop w:val="0"/>
      <w:marBottom w:val="0"/>
      <w:divBdr>
        <w:top w:val="none" w:sz="0" w:space="0" w:color="auto"/>
        <w:left w:val="none" w:sz="0" w:space="0" w:color="auto"/>
        <w:bottom w:val="none" w:sz="0" w:space="0" w:color="auto"/>
        <w:right w:val="none" w:sz="0" w:space="0" w:color="auto"/>
      </w:divBdr>
    </w:div>
    <w:div w:id="15977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64C2209A4A48ABA1E98D8E196155A1"/>
        <w:category>
          <w:name w:val="General"/>
          <w:gallery w:val="placeholder"/>
        </w:category>
        <w:types>
          <w:type w:val="bbPlcHdr"/>
        </w:types>
        <w:behaviors>
          <w:behavior w:val="content"/>
        </w:behaviors>
        <w:guid w:val="{6BA3BD55-9241-44CE-BC03-2876952C21E1}"/>
      </w:docPartPr>
      <w:docPartBody>
        <w:p w:rsidR="00264AAD" w:rsidRDefault="00672823" w:rsidP="00672823">
          <w:pPr>
            <w:pStyle w:val="A064C2209A4A48ABA1E98D8E196155A1"/>
          </w:pPr>
          <w:r>
            <w:rPr>
              <w:rStyle w:val="Vietosrezervavimoenklotekstas"/>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2">
    <w:altName w:val="MS Gothic"/>
    <w:panose1 w:val="00000000000000000000"/>
    <w:charset w:val="80"/>
    <w:family w:val="auto"/>
    <w:notTrueType/>
    <w:pitch w:val="default"/>
    <w:sig w:usb0="00000001" w:usb1="08070000" w:usb2="00000010" w:usb3="00000000" w:csb0="00020000" w:csb1="00000000"/>
  </w:font>
  <w:font w:name="CIDFont+F1">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D"/>
    <w:rsid w:val="0001247F"/>
    <w:rsid w:val="00047C19"/>
    <w:rsid w:val="00061157"/>
    <w:rsid w:val="000624FF"/>
    <w:rsid w:val="000937FE"/>
    <w:rsid w:val="000A50C9"/>
    <w:rsid w:val="000A559A"/>
    <w:rsid w:val="000B6202"/>
    <w:rsid w:val="000D24D4"/>
    <w:rsid w:val="000D6217"/>
    <w:rsid w:val="0014006D"/>
    <w:rsid w:val="001C35A9"/>
    <w:rsid w:val="001F0D14"/>
    <w:rsid w:val="00237556"/>
    <w:rsid w:val="00264AAD"/>
    <w:rsid w:val="002C0686"/>
    <w:rsid w:val="0037791A"/>
    <w:rsid w:val="0039303B"/>
    <w:rsid w:val="004144A3"/>
    <w:rsid w:val="004160E7"/>
    <w:rsid w:val="004416C6"/>
    <w:rsid w:val="00456E96"/>
    <w:rsid w:val="004C6221"/>
    <w:rsid w:val="004D038D"/>
    <w:rsid w:val="004F4E20"/>
    <w:rsid w:val="004F5AB2"/>
    <w:rsid w:val="005074B9"/>
    <w:rsid w:val="00550A33"/>
    <w:rsid w:val="0056187C"/>
    <w:rsid w:val="00563A5F"/>
    <w:rsid w:val="005C2906"/>
    <w:rsid w:val="005C62E5"/>
    <w:rsid w:val="005E40DD"/>
    <w:rsid w:val="00601F4E"/>
    <w:rsid w:val="00613E32"/>
    <w:rsid w:val="00635F26"/>
    <w:rsid w:val="00672823"/>
    <w:rsid w:val="006E6A2C"/>
    <w:rsid w:val="007219C1"/>
    <w:rsid w:val="00745C63"/>
    <w:rsid w:val="00753462"/>
    <w:rsid w:val="00772325"/>
    <w:rsid w:val="007A2FE0"/>
    <w:rsid w:val="007C6D1D"/>
    <w:rsid w:val="007D654E"/>
    <w:rsid w:val="00853487"/>
    <w:rsid w:val="00892FF4"/>
    <w:rsid w:val="008C0DC0"/>
    <w:rsid w:val="0090074D"/>
    <w:rsid w:val="009019EA"/>
    <w:rsid w:val="00901A35"/>
    <w:rsid w:val="009250ED"/>
    <w:rsid w:val="009B3BF0"/>
    <w:rsid w:val="009D5E5E"/>
    <w:rsid w:val="009F1BB4"/>
    <w:rsid w:val="00A1749F"/>
    <w:rsid w:val="00A20D39"/>
    <w:rsid w:val="00A254A2"/>
    <w:rsid w:val="00A56F5C"/>
    <w:rsid w:val="00AB2D54"/>
    <w:rsid w:val="00AB6ED4"/>
    <w:rsid w:val="00B02034"/>
    <w:rsid w:val="00B14210"/>
    <w:rsid w:val="00B22ED6"/>
    <w:rsid w:val="00B23DC0"/>
    <w:rsid w:val="00B71F04"/>
    <w:rsid w:val="00B757F1"/>
    <w:rsid w:val="00B903A5"/>
    <w:rsid w:val="00B96656"/>
    <w:rsid w:val="00BA0A8E"/>
    <w:rsid w:val="00BD556F"/>
    <w:rsid w:val="00BE3364"/>
    <w:rsid w:val="00C2401D"/>
    <w:rsid w:val="00C250D7"/>
    <w:rsid w:val="00C53A68"/>
    <w:rsid w:val="00C66578"/>
    <w:rsid w:val="00CA5BB4"/>
    <w:rsid w:val="00CB4BD1"/>
    <w:rsid w:val="00CD139C"/>
    <w:rsid w:val="00CE2DA9"/>
    <w:rsid w:val="00CE44BE"/>
    <w:rsid w:val="00D008F3"/>
    <w:rsid w:val="00D0142D"/>
    <w:rsid w:val="00D04DFF"/>
    <w:rsid w:val="00D15ED6"/>
    <w:rsid w:val="00D20347"/>
    <w:rsid w:val="00D42990"/>
    <w:rsid w:val="00D4356B"/>
    <w:rsid w:val="00D67D16"/>
    <w:rsid w:val="00D7162F"/>
    <w:rsid w:val="00DA599C"/>
    <w:rsid w:val="00DB4DB5"/>
    <w:rsid w:val="00DE4D10"/>
    <w:rsid w:val="00E44A86"/>
    <w:rsid w:val="00E522EB"/>
    <w:rsid w:val="00E60827"/>
    <w:rsid w:val="00EF6E0C"/>
    <w:rsid w:val="00F14477"/>
    <w:rsid w:val="00F233AE"/>
    <w:rsid w:val="00F24328"/>
    <w:rsid w:val="00F26745"/>
    <w:rsid w:val="00F370E5"/>
    <w:rsid w:val="00F55028"/>
    <w:rsid w:val="00F677F0"/>
    <w:rsid w:val="00F77BEF"/>
    <w:rsid w:val="00FC1664"/>
    <w:rsid w:val="00FC755C"/>
    <w:rsid w:val="00FE0D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672823"/>
    <w:rPr>
      <w:color w:val="808080"/>
    </w:rPr>
  </w:style>
  <w:style w:type="paragraph" w:customStyle="1" w:styleId="A064C2209A4A48ABA1E98D8E196155A1">
    <w:name w:val="A064C2209A4A48ABA1E98D8E196155A1"/>
    <w:rsid w:val="006728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69206-C4C0-435D-A9AA-A6C545B0E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12185</Words>
  <Characters>6947</Characters>
  <Application>Microsoft Office Word</Application>
  <DocSecurity>0</DocSecurity>
  <Lines>57</Lines>
  <Paragraphs>38</Paragraphs>
  <ScaleCrop>false</ScaleCrop>
  <Company/>
  <LinksUpToDate>false</LinksUpToDate>
  <CharactersWithSpaces>19094</CharactersWithSpaces>
  <SharedDoc>false</SharedDoc>
  <HLinks>
    <vt:vector size="6" baseType="variant">
      <vt:variant>
        <vt:i4>5308539</vt:i4>
      </vt:variant>
      <vt:variant>
        <vt:i4>6</vt:i4>
      </vt:variant>
      <vt:variant>
        <vt:i4>0</vt:i4>
      </vt:variant>
      <vt:variant>
        <vt:i4>5</vt:i4>
      </vt:variant>
      <vt:variant>
        <vt:lpwstr>mailto:vvkt@vvkt.lt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2026-10-01T09:12:00Z</dcterms:created>
  <dcterms:modified xsi:type="dcterms:W3CDTF">2026-10-15T04:50:00Z</dcterms:modified>
</cp:coreProperties>
</file>